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D" w:rsidRDefault="00EE46FF" w:rsidP="00C75751">
      <w:pPr>
        <w:pStyle w:val="Ttulo2"/>
      </w:pPr>
      <w:r>
        <w:t>TEMA 2: EL DERECHO PRESUPUESTARIO</w:t>
      </w:r>
      <w:r w:rsidR="00A26367">
        <w:t>: CONCE</w:t>
      </w:r>
      <w:r>
        <w:t>PTO Y CONTENIDO. LA LEY GENERAL PRESUPUESTARIA. LA HACIENDA PÚBLICA ESTATAL. LOS PGE. LA EJECUCIÓN DEL GASTO PÚBLICO. EL CONTROL DE LA GESTIÓN ECONÓMICO-FINANCIERA DEL SECTOR PÚBLICO ESTATAL.</w:t>
      </w:r>
    </w:p>
    <w:p w:rsidR="00C75751" w:rsidRPr="00C75751" w:rsidRDefault="00C75751" w:rsidP="00C75751"/>
    <w:p w:rsidR="009E0247" w:rsidRPr="00486E60" w:rsidRDefault="00EE46FF" w:rsidP="007A7DF8">
      <w:pPr>
        <w:pStyle w:val="Prrafodelista"/>
        <w:numPr>
          <w:ilvl w:val="0"/>
          <w:numId w:val="1"/>
        </w:numPr>
        <w:rPr>
          <w:b/>
        </w:rPr>
      </w:pPr>
      <w:r>
        <w:rPr>
          <w:b/>
        </w:rPr>
        <w:t>EL DERECHO PRESUPUESTARIO</w:t>
      </w:r>
      <w:r w:rsidR="00A26367">
        <w:rPr>
          <w:b/>
        </w:rPr>
        <w:t>: CONCEPTO Y CONTENIDO.</w:t>
      </w:r>
    </w:p>
    <w:p w:rsidR="00486E60" w:rsidRDefault="00486E60" w:rsidP="00923DDA">
      <w:pPr>
        <w:pStyle w:val="Prrafodelista"/>
        <w:ind w:left="644"/>
      </w:pPr>
    </w:p>
    <w:p w:rsidR="00923DDA" w:rsidRDefault="00A26367" w:rsidP="00923DDA">
      <w:pPr>
        <w:pStyle w:val="Prrafodelista"/>
        <w:ind w:left="644"/>
      </w:pPr>
      <w:r>
        <w:t>CONCEPTO</w:t>
      </w:r>
    </w:p>
    <w:p w:rsidR="009F4ED6" w:rsidRDefault="00EE46FF" w:rsidP="00923DDA">
      <w:pPr>
        <w:pStyle w:val="Prrafodelista"/>
        <w:ind w:left="644"/>
      </w:pPr>
      <w:r>
        <w:t>Conjunto de normas y principios jurídicos que regulan la preparación, aprobación, ejecución y control del presupuesto del Estado y de los demás entes públicos.</w:t>
      </w:r>
      <w:r w:rsidR="009F4ED6">
        <w:t xml:space="preserve"> </w:t>
      </w:r>
    </w:p>
    <w:p w:rsidR="00EE46FF" w:rsidRDefault="009E0247" w:rsidP="00EE46FF">
      <w:pPr>
        <w:ind w:left="644"/>
        <w:jc w:val="both"/>
      </w:pPr>
      <w:r>
        <w:t>CONTENIDO</w:t>
      </w:r>
    </w:p>
    <w:p w:rsidR="00923DDA" w:rsidRDefault="00EE46FF" w:rsidP="00EE46FF">
      <w:pPr>
        <w:ind w:left="644"/>
        <w:jc w:val="both"/>
      </w:pPr>
      <w:r>
        <w:t>Sobre la base de la definición anterior</w:t>
      </w:r>
      <w:r w:rsidR="00923DDA">
        <w:t xml:space="preserve"> </w:t>
      </w:r>
      <w:r>
        <w:t>el contenido del derecho presupuestario se identifica con la regulación de los distintos aspectos del presupuesto: elaboración, aprobación, ejecución y control siempre teniendo en cuenta que el Derecho presupuestario se desenvuelve fundamentalmente en la vertiente del gasto público</w:t>
      </w:r>
    </w:p>
    <w:p w:rsidR="00923DDA" w:rsidRDefault="00DB7CA1" w:rsidP="007A7DF8">
      <w:pPr>
        <w:pStyle w:val="Prrafodelista"/>
        <w:numPr>
          <w:ilvl w:val="0"/>
          <w:numId w:val="1"/>
        </w:numPr>
        <w:jc w:val="both"/>
        <w:rPr>
          <w:b/>
        </w:rPr>
      </w:pPr>
      <w:r>
        <w:rPr>
          <w:b/>
        </w:rPr>
        <w:t>LA LEY GENERAL PRESUPUESTARIA</w:t>
      </w:r>
    </w:p>
    <w:p w:rsidR="00DB7CA1" w:rsidRDefault="00DB7CA1" w:rsidP="00DB7CA1">
      <w:pPr>
        <w:pStyle w:val="Prrafodelista"/>
        <w:ind w:left="644"/>
        <w:jc w:val="both"/>
      </w:pPr>
    </w:p>
    <w:p w:rsidR="00DB7CA1" w:rsidRDefault="00DB7CA1" w:rsidP="00DB7CA1">
      <w:pPr>
        <w:pStyle w:val="Prrafodelista"/>
        <w:ind w:left="644"/>
        <w:jc w:val="both"/>
      </w:pPr>
      <w:r>
        <w:t>INTRODUCCIÓN</w:t>
      </w:r>
    </w:p>
    <w:p w:rsidR="00DB7CA1" w:rsidRDefault="00DB7CA1" w:rsidP="00DB7CA1">
      <w:pPr>
        <w:pStyle w:val="Prrafodelista"/>
        <w:ind w:left="644"/>
        <w:jc w:val="both"/>
      </w:pPr>
      <w:r>
        <w:t xml:space="preserve">La Ley 47/2003, de 26 de noviembre, General Presupuestaria (LGP) constituye la normativa básica  del funcionamiento financiero del sector público estatal. </w:t>
      </w:r>
    </w:p>
    <w:p w:rsidR="00DB7CA1" w:rsidRDefault="00DB7CA1" w:rsidP="00230F46">
      <w:pPr>
        <w:pStyle w:val="Prrafodelista"/>
        <w:ind w:left="644"/>
        <w:jc w:val="both"/>
      </w:pPr>
      <w:r>
        <w:t>Regula, entre otras cosas: el ámbito de la Hacienda Pública estatal, el procedimiento de elaboración, contenido y ejecución de los PGE, el Tesoro público y la Deuda del Estado, la contabilidad pública y el control efectuado por la IGAE.</w:t>
      </w:r>
    </w:p>
    <w:p w:rsidR="00230F46" w:rsidRDefault="00230F46" w:rsidP="00230F46">
      <w:pPr>
        <w:pStyle w:val="Prrafodelista"/>
        <w:ind w:left="644"/>
        <w:jc w:val="both"/>
      </w:pPr>
    </w:p>
    <w:p w:rsidR="00C763F3" w:rsidRDefault="004A458E" w:rsidP="00230F46">
      <w:pPr>
        <w:pStyle w:val="Prrafodelista"/>
        <w:ind w:left="644"/>
        <w:jc w:val="both"/>
      </w:pPr>
      <w:r>
        <w:t xml:space="preserve">PRINCIPIOS GENERALES </w:t>
      </w:r>
    </w:p>
    <w:p w:rsidR="00DB7CA1" w:rsidRDefault="00DB7CA1" w:rsidP="007A7DF8">
      <w:pPr>
        <w:pStyle w:val="Prrafodelista"/>
        <w:numPr>
          <w:ilvl w:val="0"/>
          <w:numId w:val="2"/>
        </w:numPr>
        <w:jc w:val="both"/>
      </w:pPr>
      <w:r>
        <w:t xml:space="preserve">Unidad de Patrimonio: </w:t>
      </w:r>
    </w:p>
    <w:p w:rsidR="00DB7CA1" w:rsidRDefault="00DB7CA1" w:rsidP="00DB7CA1">
      <w:pPr>
        <w:pStyle w:val="Prrafodelista"/>
        <w:ind w:left="1004"/>
        <w:jc w:val="both"/>
      </w:pPr>
      <w:r>
        <w:t>Art. 5.1 LGP: “La Hacienda Pública estatal está constituida por el conjunto de derechos y obligaciones de contenido económico cuya titularidad corresponde a la AGE y sus OOAA”</w:t>
      </w:r>
    </w:p>
    <w:p w:rsidR="00DB7CA1" w:rsidRDefault="006A0D9A" w:rsidP="007A7DF8">
      <w:pPr>
        <w:pStyle w:val="Prrafodelista"/>
        <w:numPr>
          <w:ilvl w:val="0"/>
          <w:numId w:val="2"/>
        </w:numPr>
        <w:jc w:val="both"/>
      </w:pPr>
      <w:r>
        <w:t>Principio de Reserva de Ley</w:t>
      </w:r>
    </w:p>
    <w:p w:rsidR="006A0D9A" w:rsidRDefault="006A0D9A" w:rsidP="006A0D9A">
      <w:pPr>
        <w:pStyle w:val="Prrafodelista"/>
        <w:ind w:left="1004"/>
        <w:jc w:val="both"/>
      </w:pPr>
      <w:r>
        <w:t>Art. 4 LGP: “El régimen económico y financiero del sector público estatal se regula en esta Ley, sin perjuicio de lo establecido en otras normas especiales y lo establecido en la normativa comunitaria”</w:t>
      </w:r>
    </w:p>
    <w:p w:rsidR="006A0D9A" w:rsidRDefault="006A0D9A" w:rsidP="007A7DF8">
      <w:pPr>
        <w:pStyle w:val="Prrafodelista"/>
        <w:numPr>
          <w:ilvl w:val="0"/>
          <w:numId w:val="2"/>
        </w:numPr>
        <w:jc w:val="both"/>
      </w:pPr>
      <w:r>
        <w:t xml:space="preserve">Principio de Competencia </w:t>
      </w:r>
    </w:p>
    <w:p w:rsidR="006A0D9A" w:rsidRDefault="006A0D9A" w:rsidP="006A0D9A">
      <w:pPr>
        <w:pStyle w:val="Prrafodelista"/>
        <w:ind w:left="1004"/>
        <w:jc w:val="both"/>
      </w:pPr>
      <w:r>
        <w:t>Se concreta en la atribución de una competencia específica para cada fase del ciclo presupuestario: La elaboración del Presupuesto corresponde al Poder Ejecutivo, la aprobación del Presupuesto corresponde al Poder Legislativo y la ejecución del Presupuesto de nuevo corresponde al Poder Ejecutivo.</w:t>
      </w:r>
    </w:p>
    <w:p w:rsidR="006A0D9A" w:rsidRDefault="006A0D9A" w:rsidP="007A7DF8">
      <w:pPr>
        <w:pStyle w:val="Prrafodelista"/>
        <w:numPr>
          <w:ilvl w:val="0"/>
          <w:numId w:val="2"/>
        </w:numPr>
        <w:jc w:val="both"/>
      </w:pPr>
      <w:r>
        <w:t>Principio de Unidad de Caja</w:t>
      </w:r>
    </w:p>
    <w:p w:rsidR="006A0D9A" w:rsidRDefault="006A0D9A" w:rsidP="006A0D9A">
      <w:pPr>
        <w:pStyle w:val="Prrafodelista"/>
        <w:ind w:left="1004"/>
        <w:jc w:val="both"/>
      </w:pPr>
      <w:r>
        <w:lastRenderedPageBreak/>
        <w:t>Supone la centralización de la percepción de ingresos y realización de pagos y de todos los fondos y valores de la Hacienda pública en una única entidad administrativa especial, el Tesoro Público.</w:t>
      </w:r>
    </w:p>
    <w:p w:rsidR="006A0D9A" w:rsidRDefault="006A0D9A" w:rsidP="007A7DF8">
      <w:pPr>
        <w:pStyle w:val="Prrafodelista"/>
        <w:numPr>
          <w:ilvl w:val="0"/>
          <w:numId w:val="2"/>
        </w:numPr>
        <w:jc w:val="both"/>
      </w:pPr>
      <w:r>
        <w:t>Principio de Presupuesto Anual</w:t>
      </w:r>
    </w:p>
    <w:p w:rsidR="006A0D9A" w:rsidRDefault="006A0D9A" w:rsidP="006A0D9A">
      <w:pPr>
        <w:pStyle w:val="Prrafodelista"/>
        <w:ind w:left="1004"/>
        <w:jc w:val="both"/>
      </w:pPr>
      <w:r>
        <w:t>El art. 34 de la LGP señala que el ejercicio presupuestario coincidirá con el año natural.</w:t>
      </w:r>
    </w:p>
    <w:p w:rsidR="006A0D9A" w:rsidRDefault="006A0D9A" w:rsidP="007A7DF8">
      <w:pPr>
        <w:pStyle w:val="Prrafodelista"/>
        <w:numPr>
          <w:ilvl w:val="0"/>
          <w:numId w:val="2"/>
        </w:numPr>
        <w:jc w:val="both"/>
      </w:pPr>
      <w:r>
        <w:t>Principio de Control</w:t>
      </w:r>
    </w:p>
    <w:p w:rsidR="006A0D9A" w:rsidRDefault="00D52FB4" w:rsidP="006A0D9A">
      <w:pPr>
        <w:pStyle w:val="Prrafodelista"/>
        <w:ind w:left="1004"/>
        <w:jc w:val="both"/>
      </w:pPr>
      <w:r>
        <w:t>Existen tres tipos de control del presupuesto: El control administrativo interno realizado por la propia Administración (IGAE), el control jurisdiccional externo sobre la cuenta general del estado que recoge la ejecución del presupuesto (Tribunal de cuentas) y el control político realizado por el propio parlamento que aprobó el presupuesto.</w:t>
      </w:r>
    </w:p>
    <w:p w:rsidR="00D52FB4" w:rsidRDefault="00D52FB4" w:rsidP="007A7DF8">
      <w:pPr>
        <w:pStyle w:val="Prrafodelista"/>
        <w:numPr>
          <w:ilvl w:val="0"/>
          <w:numId w:val="2"/>
        </w:numPr>
        <w:jc w:val="both"/>
      </w:pPr>
      <w:r>
        <w:t>Principio de Contabilidad (o publicidad)</w:t>
      </w:r>
    </w:p>
    <w:p w:rsidR="00D52FB4" w:rsidRDefault="00D52FB4" w:rsidP="00D52FB4">
      <w:pPr>
        <w:pStyle w:val="Prrafodelista"/>
        <w:ind w:left="1004"/>
        <w:jc w:val="both"/>
      </w:pPr>
      <w:r>
        <w:t>Art. 119 LGP:”Las entidades integrantes del sector público estatal quedan sometidas a la obligación de rendir cuentas de sus operaciones, cualquiera que sea su naturaleza, al Tribunal de Cuentas por conducto de la IGAE”</w:t>
      </w:r>
    </w:p>
    <w:p w:rsidR="00D52FB4" w:rsidRDefault="00D52FB4" w:rsidP="00D52FB4">
      <w:pPr>
        <w:pStyle w:val="Prrafodelista"/>
        <w:ind w:left="1004"/>
        <w:jc w:val="both"/>
      </w:pPr>
      <w:r>
        <w:t>Las entidades que integran el sector administrativo</w:t>
      </w:r>
      <w:r w:rsidR="00A63221">
        <w:t>,</w:t>
      </w:r>
      <w:r>
        <w:t xml:space="preserve"> aplicarán el Plan General de Co</w:t>
      </w:r>
      <w:r w:rsidR="00A63221">
        <w:t>ntabilidad Pública;</w:t>
      </w:r>
      <w:r>
        <w:t xml:space="preserve"> las entidades</w:t>
      </w:r>
      <w:r w:rsidR="00A63221">
        <w:t xml:space="preserve"> del sector público empresarial, aplicarán el Código de Comercio y el PGC de la empresa española; y las fundaciones del sector público, el PGC de las entidades sin fines lucrativos.</w:t>
      </w:r>
    </w:p>
    <w:p w:rsidR="00A63221" w:rsidRDefault="00A63221" w:rsidP="007A7DF8">
      <w:pPr>
        <w:pStyle w:val="Prrafodelista"/>
        <w:numPr>
          <w:ilvl w:val="0"/>
          <w:numId w:val="2"/>
        </w:numPr>
        <w:jc w:val="both"/>
      </w:pPr>
      <w:r>
        <w:t>Principio de preeminencia del Ministerio de Hacienda.</w:t>
      </w:r>
    </w:p>
    <w:p w:rsidR="00A63221" w:rsidRDefault="00A63221" w:rsidP="00A63221">
      <w:pPr>
        <w:pStyle w:val="Prrafodelista"/>
        <w:ind w:left="1004"/>
        <w:jc w:val="both"/>
      </w:pPr>
      <w:r>
        <w:t>De la lectura de las competencias que la LGP otorga al Ministerio de Hacienda se desprende claramente la preeminencia del Ministro de Hacienda sobre los demás miembros del gobierno en el campo financiero.</w:t>
      </w:r>
    </w:p>
    <w:p w:rsidR="006F1910" w:rsidRDefault="00A63221" w:rsidP="006F1910">
      <w:pPr>
        <w:ind w:left="708"/>
        <w:jc w:val="both"/>
      </w:pPr>
      <w:r>
        <w:t>PRINCIPIOS Y REGLAS DE PROGRAMACIÓN PRESUPUESTARIA</w:t>
      </w:r>
    </w:p>
    <w:p w:rsidR="00B61288" w:rsidRDefault="00B61288" w:rsidP="006F1910">
      <w:pPr>
        <w:ind w:left="708"/>
        <w:jc w:val="both"/>
      </w:pPr>
      <w:r>
        <w:t>La LGP establece en su artículo 26, los principios y reglas de programación presupuestaria:</w:t>
      </w:r>
    </w:p>
    <w:p w:rsidR="00B61288" w:rsidRDefault="00B61288" w:rsidP="007A7DF8">
      <w:pPr>
        <w:pStyle w:val="Prrafodelista"/>
        <w:numPr>
          <w:ilvl w:val="0"/>
          <w:numId w:val="3"/>
        </w:numPr>
        <w:jc w:val="both"/>
      </w:pPr>
      <w:r>
        <w:t xml:space="preserve">Principio de estabilidad presupuestaria </w:t>
      </w:r>
    </w:p>
    <w:p w:rsidR="00B61288" w:rsidRDefault="00B61288" w:rsidP="00B61288">
      <w:pPr>
        <w:pStyle w:val="Prrafodelista"/>
        <w:ind w:left="1068"/>
        <w:jc w:val="both"/>
      </w:pPr>
      <w:r>
        <w:t xml:space="preserve">Se entiende por estabilidad presupuestaria </w:t>
      </w:r>
      <w:r w:rsidR="006F1910">
        <w:t>una situación de equilibrio o superávit estructural coherente con la normativa europea.</w:t>
      </w:r>
    </w:p>
    <w:p w:rsidR="006F1910" w:rsidRDefault="006F1910" w:rsidP="007A7DF8">
      <w:pPr>
        <w:pStyle w:val="Prrafodelista"/>
        <w:numPr>
          <w:ilvl w:val="0"/>
          <w:numId w:val="3"/>
        </w:numPr>
        <w:jc w:val="both"/>
      </w:pPr>
      <w:r>
        <w:t>Principio de sostenibilidad financiera</w:t>
      </w:r>
    </w:p>
    <w:p w:rsidR="006F1910" w:rsidRDefault="006F1910" w:rsidP="006F1910">
      <w:pPr>
        <w:pStyle w:val="Prrafodelista"/>
        <w:ind w:left="1068"/>
        <w:jc w:val="both"/>
      </w:pPr>
      <w:r>
        <w:t>Se entiende por sostenibilidad financiera la capacidad de financiar compromisos de gasto presentes y futuros dentro de los límites de déficit, deuda pública y morosidad sobre la deuda comercial que se establezcan.</w:t>
      </w:r>
    </w:p>
    <w:p w:rsidR="006F1910" w:rsidRDefault="006F1910" w:rsidP="007A7DF8">
      <w:pPr>
        <w:pStyle w:val="Prrafodelista"/>
        <w:numPr>
          <w:ilvl w:val="0"/>
          <w:numId w:val="3"/>
        </w:numPr>
        <w:jc w:val="both"/>
      </w:pPr>
      <w:r>
        <w:t>Principio de Plurianualidad</w:t>
      </w:r>
    </w:p>
    <w:p w:rsidR="006F1910" w:rsidRDefault="006F1910" w:rsidP="006F1910">
      <w:pPr>
        <w:pStyle w:val="Prrafodelista"/>
        <w:ind w:left="1068"/>
        <w:jc w:val="both"/>
      </w:pPr>
      <w:r>
        <w:t>La elaboración de los presupuestos anuales se encuadra</w:t>
      </w:r>
      <w:r w:rsidR="004178DC">
        <w:t xml:space="preserve"> dentro de </w:t>
      </w:r>
      <w:r>
        <w:t xml:space="preserve"> en un marco presupuestario</w:t>
      </w:r>
      <w:r w:rsidR="004178DC">
        <w:t xml:space="preserve"> elaborado</w:t>
      </w:r>
      <w:r>
        <w:t xml:space="preserve"> a medio plazo de conformidad con la normativa europea.</w:t>
      </w:r>
    </w:p>
    <w:p w:rsidR="006F1910" w:rsidRDefault="006F1910" w:rsidP="007A7DF8">
      <w:pPr>
        <w:pStyle w:val="Prrafodelista"/>
        <w:numPr>
          <w:ilvl w:val="0"/>
          <w:numId w:val="3"/>
        </w:numPr>
        <w:jc w:val="both"/>
      </w:pPr>
      <w:r>
        <w:t>Principio de transparencia</w:t>
      </w:r>
    </w:p>
    <w:p w:rsidR="006F1910" w:rsidRDefault="006F1910" w:rsidP="006F1910">
      <w:pPr>
        <w:pStyle w:val="Prrafodelista"/>
        <w:ind w:left="1068"/>
        <w:jc w:val="both"/>
      </w:pPr>
      <w:r>
        <w:t>El ministerio de hacienda proveerá la disponibilidad pública de la información económico-financiera con el alcance y periodicidad que señalen las normas nacionales y las disposiciones comunitarias.</w:t>
      </w:r>
    </w:p>
    <w:p w:rsidR="004178DC" w:rsidRDefault="004178DC" w:rsidP="007A7DF8">
      <w:pPr>
        <w:pStyle w:val="Prrafodelista"/>
        <w:numPr>
          <w:ilvl w:val="0"/>
          <w:numId w:val="3"/>
        </w:numPr>
        <w:jc w:val="both"/>
      </w:pPr>
      <w:r>
        <w:t>Principio de eficiencia en la asignación y utilización de los recursos públicos.</w:t>
      </w:r>
    </w:p>
    <w:p w:rsidR="004178DC" w:rsidRDefault="004178DC" w:rsidP="004178DC">
      <w:pPr>
        <w:pStyle w:val="Prrafodelista"/>
        <w:ind w:left="1068"/>
        <w:jc w:val="both"/>
      </w:pPr>
      <w:r>
        <w:lastRenderedPageBreak/>
        <w:t>La gestión de los recursos públicos estará orientada a la eficacia, eficiencia, economía y calidad.</w:t>
      </w:r>
    </w:p>
    <w:p w:rsidR="004178DC" w:rsidRDefault="004178DC" w:rsidP="007A7DF8">
      <w:pPr>
        <w:pStyle w:val="Prrafodelista"/>
        <w:numPr>
          <w:ilvl w:val="0"/>
          <w:numId w:val="3"/>
        </w:numPr>
        <w:jc w:val="both"/>
      </w:pPr>
      <w:r>
        <w:t>Principio de responsabilidad</w:t>
      </w:r>
    </w:p>
    <w:p w:rsidR="004178DC" w:rsidRDefault="004178DC" w:rsidP="004178DC">
      <w:pPr>
        <w:pStyle w:val="Prrafodelista"/>
        <w:ind w:left="1068"/>
        <w:jc w:val="both"/>
      </w:pPr>
      <w:r>
        <w:t>Las Administraciones públicas que incumplan las obligaciones contenidas en la LGP o provoquen el incumplimiento de los compromisos asumidos por España en la UE asumirán en la parte que les sea imputable las responsabilidades de tal incumplimiento.</w:t>
      </w:r>
    </w:p>
    <w:p w:rsidR="004178DC" w:rsidRDefault="004178DC" w:rsidP="007A7DF8">
      <w:pPr>
        <w:pStyle w:val="Prrafodelista"/>
        <w:numPr>
          <w:ilvl w:val="0"/>
          <w:numId w:val="3"/>
        </w:numPr>
        <w:jc w:val="both"/>
      </w:pPr>
      <w:r>
        <w:t>Principio de lealtad institucional</w:t>
      </w:r>
    </w:p>
    <w:p w:rsidR="004178DC" w:rsidRDefault="004178DC" w:rsidP="004178DC">
      <w:pPr>
        <w:pStyle w:val="Prrafodelista"/>
        <w:ind w:left="1068"/>
        <w:jc w:val="both"/>
      </w:pPr>
      <w:r>
        <w:t>Se fundamenta en el respeto a las competencias ajenas, la cooperación administrativa, la transparencia informativa y la co</w:t>
      </w:r>
      <w:r w:rsidR="00230F46">
        <w:t>laboración y coordinación entre administraciones.</w:t>
      </w:r>
    </w:p>
    <w:p w:rsidR="00230F46" w:rsidRDefault="00230F46" w:rsidP="00230F46">
      <w:pPr>
        <w:ind w:left="708"/>
        <w:jc w:val="both"/>
      </w:pPr>
      <w:r>
        <w:t>PRINCIPIOS Y REGLAS DE LA GESTIÓN PRESUPUESTARIA</w:t>
      </w:r>
    </w:p>
    <w:p w:rsidR="00230F46" w:rsidRDefault="00230F46" w:rsidP="00230F46">
      <w:pPr>
        <w:ind w:left="708"/>
        <w:jc w:val="both"/>
      </w:pPr>
      <w:r>
        <w:t>El art. 27 de la LGP establece los principios y reglas de la gestión presupuestaria:</w:t>
      </w:r>
    </w:p>
    <w:p w:rsidR="00230F46" w:rsidRDefault="00230F46" w:rsidP="00230F46">
      <w:pPr>
        <w:ind w:left="708"/>
        <w:jc w:val="both"/>
      </w:pPr>
      <w:r>
        <w:t>En resumen, se fundamentan en el carácter anual del presupuesto, en las limitaciones cuantitativas y cualitativas de los créditos y en la aplicación íntegra al presupuesto de los derechos liquidados y las obligaciones reconocidas sin posibilidad de compensación entre unos y otros.</w:t>
      </w:r>
    </w:p>
    <w:p w:rsidR="009F54C9" w:rsidRDefault="00230F46" w:rsidP="007A7DF8">
      <w:pPr>
        <w:pStyle w:val="Prrafodelista"/>
        <w:numPr>
          <w:ilvl w:val="0"/>
          <w:numId w:val="1"/>
        </w:numPr>
        <w:jc w:val="both"/>
        <w:rPr>
          <w:b/>
        </w:rPr>
      </w:pPr>
      <w:r w:rsidRPr="00230F46">
        <w:rPr>
          <w:b/>
        </w:rPr>
        <w:t>LA HACIENDA PÚBLICA ESTATAL</w:t>
      </w:r>
    </w:p>
    <w:p w:rsidR="00230F46" w:rsidRDefault="00230F46" w:rsidP="00230F46">
      <w:pPr>
        <w:pStyle w:val="Prrafodelista"/>
        <w:ind w:left="644"/>
        <w:jc w:val="both"/>
      </w:pPr>
    </w:p>
    <w:p w:rsidR="00E50084" w:rsidRDefault="00E50084" w:rsidP="002C7D97">
      <w:pPr>
        <w:pStyle w:val="Prrafodelista"/>
        <w:ind w:left="644"/>
        <w:jc w:val="both"/>
      </w:pPr>
      <w:r>
        <w:t>El artículo 5 de la LGP define la Hacienda Pública como: “El conjunto de derechos y obligaciones de contenido económico cuya titularidad corresponde a la AGE y sus OOAA”</w:t>
      </w:r>
    </w:p>
    <w:p w:rsidR="00E50084" w:rsidRDefault="00E50084" w:rsidP="00230F46">
      <w:pPr>
        <w:pStyle w:val="Prrafodelista"/>
        <w:ind w:left="644"/>
        <w:jc w:val="both"/>
      </w:pPr>
      <w:r>
        <w:t>DERECHOS DE LA HACIENDA PÚBLICA</w:t>
      </w:r>
    </w:p>
    <w:p w:rsidR="00E50084" w:rsidRDefault="00E50084" w:rsidP="00230F46">
      <w:pPr>
        <w:pStyle w:val="Prrafodelista"/>
        <w:ind w:left="644"/>
        <w:jc w:val="both"/>
      </w:pPr>
      <w:r>
        <w:t>Se clasifican en derechos de naturaleza pública y derechos de naturaleza privada</w:t>
      </w:r>
    </w:p>
    <w:p w:rsidR="00E50084" w:rsidRDefault="00E50084" w:rsidP="007A7DF8">
      <w:pPr>
        <w:pStyle w:val="Prrafodelista"/>
        <w:numPr>
          <w:ilvl w:val="0"/>
          <w:numId w:val="3"/>
        </w:numPr>
        <w:jc w:val="both"/>
      </w:pPr>
      <w:r>
        <w:t>Derechos de naturaleza pública</w:t>
      </w:r>
    </w:p>
    <w:p w:rsidR="00E50084" w:rsidRDefault="00E50084" w:rsidP="00E50084">
      <w:pPr>
        <w:pStyle w:val="Prrafodelista"/>
        <w:ind w:left="1068"/>
        <w:jc w:val="both"/>
      </w:pPr>
      <w:r>
        <w:t>Son derechos de naturaleza pública estatal los tributos y demás derechos de contenido económico cuya titularidad corresponde a la AGE y sus OOAA que deriven de potestades administrativas.</w:t>
      </w:r>
    </w:p>
    <w:p w:rsidR="00E50084" w:rsidRDefault="00E50084" w:rsidP="007A7DF8">
      <w:pPr>
        <w:pStyle w:val="Prrafodelista"/>
        <w:numPr>
          <w:ilvl w:val="0"/>
          <w:numId w:val="4"/>
        </w:numPr>
        <w:jc w:val="both"/>
      </w:pPr>
      <w:r>
        <w:t xml:space="preserve">Nacimiento, adquisición y extinción: </w:t>
      </w:r>
      <w:r w:rsidR="00A4223F">
        <w:t xml:space="preserve">Se adquieren y nacen de conformidad con lo establecido en la normativa reguladora de cada derecho y se extinguen por las causas previstas en la LGT y demás previstas en las leyes. </w:t>
      </w:r>
    </w:p>
    <w:p w:rsidR="00A4223F" w:rsidRDefault="00A4223F" w:rsidP="007A7DF8">
      <w:pPr>
        <w:pStyle w:val="Prrafodelista"/>
        <w:numPr>
          <w:ilvl w:val="0"/>
          <w:numId w:val="4"/>
        </w:numPr>
        <w:jc w:val="both"/>
      </w:pPr>
      <w:r>
        <w:t>Prerrogativas: La cobranza de tales derechos gozan de las prerrogativas previstas en la LGT y en el Reglamento General de Recaudación (RGR)</w:t>
      </w:r>
    </w:p>
    <w:p w:rsidR="00A4223F" w:rsidRDefault="00832567" w:rsidP="007A7DF8">
      <w:pPr>
        <w:pStyle w:val="Prrafodelista"/>
        <w:numPr>
          <w:ilvl w:val="0"/>
          <w:numId w:val="4"/>
        </w:numPr>
        <w:jc w:val="both"/>
      </w:pPr>
      <w:r>
        <w:t>Administración: Corresponde al Ministerio de Hacienda.</w:t>
      </w:r>
    </w:p>
    <w:p w:rsidR="00832567" w:rsidRDefault="00832567" w:rsidP="007A7DF8">
      <w:pPr>
        <w:pStyle w:val="Prrafodelista"/>
        <w:numPr>
          <w:ilvl w:val="0"/>
          <w:numId w:val="4"/>
        </w:numPr>
        <w:jc w:val="both"/>
      </w:pPr>
      <w:r>
        <w:t xml:space="preserve">Indisponibilidad: </w:t>
      </w:r>
      <w:r w:rsidR="009B389A">
        <w:t xml:space="preserve">Los derechos económicos de la Hacienda Pública no se podrán enajenar, gravar ni arrendar fuera de los casos regulados en las leyes. Tampoco se concederán exenciones, condonaciones, rebajas ni moratorias en el pago sino en los casos y formas que determinen las leyes. Sin perjuicio de lo establecido sobre procesos concursales, no se podrá transigir judicial ni extrajudicialmente sobre los derechos de la Hacienda Pública, ni someter a arbitraje las contiendas sobre los mismos sino es mediante Real decreto </w:t>
      </w:r>
      <w:r w:rsidR="009B389A">
        <w:lastRenderedPageBreak/>
        <w:t>aprobado por el Consejo de ministros previa audiencia del Consejo de Estado en pleno.</w:t>
      </w:r>
    </w:p>
    <w:p w:rsidR="009B389A" w:rsidRDefault="002D3C1E" w:rsidP="007A7DF8">
      <w:pPr>
        <w:pStyle w:val="Prrafodelista"/>
        <w:numPr>
          <w:ilvl w:val="0"/>
          <w:numId w:val="4"/>
        </w:numPr>
        <w:jc w:val="both"/>
      </w:pPr>
      <w:r>
        <w:t>Compensación: En los casos y con  los requisitos que se establezcan reglamentariamente podrán extinguirse total o parcialmente por compensación las deudas de naturaleza pública a favor de la Hacienda pública estatal que se encuentren en fase de gestión recaudatoria, tanto voluntaria como ejecutiva, con los créditos reconocidos por la misma a favor del deudor.</w:t>
      </w:r>
    </w:p>
    <w:p w:rsidR="00833BF2" w:rsidRDefault="00833BF2" w:rsidP="007A7DF8">
      <w:pPr>
        <w:pStyle w:val="Prrafodelista"/>
        <w:numPr>
          <w:ilvl w:val="0"/>
          <w:numId w:val="4"/>
        </w:numPr>
        <w:jc w:val="both"/>
      </w:pPr>
      <w:r>
        <w:t>Prescripción (Art. 15 LGP): Salvo lo establecido por las leyes reguladoras de los distintos recursos, prescribirá a los 4 años el derecho de la Hacienda Pública Estatal a reconocer o liquidar créditos a su favor, contándose dicho plazo desde el día en que el derecho pudo ejercitarse y al cobro de los créditos reconocidos o liquidados a contar desde la fecha de su notificación o, si ésta no fuera preceptiva, desde su vencimiento.</w:t>
      </w:r>
    </w:p>
    <w:p w:rsidR="00833BF2" w:rsidRDefault="00833BF2" w:rsidP="007A7DF8">
      <w:pPr>
        <w:pStyle w:val="Prrafodelista"/>
        <w:numPr>
          <w:ilvl w:val="0"/>
          <w:numId w:val="4"/>
        </w:numPr>
        <w:jc w:val="both"/>
      </w:pPr>
      <w:r>
        <w:t>Intereses de demora (Art. 17 LGP): Las cantidades adeudadas a la Hacienda Pública estatal devengarán interés de demora desde el día siguiente al de su vencimiento. El interés de demora resultará del interés legal fijado en la Ley de Presupuestos de cada periodo. Lo dispuesto en este artículo se entenderá sin perjuicio de las especialidades en materia tributaria.</w:t>
      </w:r>
    </w:p>
    <w:p w:rsidR="003941D0" w:rsidRDefault="003941D0" w:rsidP="003941D0">
      <w:pPr>
        <w:pStyle w:val="Prrafodelista"/>
        <w:ind w:left="1428"/>
        <w:jc w:val="both"/>
      </w:pPr>
    </w:p>
    <w:p w:rsidR="003941D0" w:rsidRDefault="003941D0" w:rsidP="007A7DF8">
      <w:pPr>
        <w:pStyle w:val="Prrafodelista"/>
        <w:numPr>
          <w:ilvl w:val="0"/>
          <w:numId w:val="3"/>
        </w:numPr>
        <w:jc w:val="both"/>
      </w:pPr>
      <w:r>
        <w:t>Derechos de naturaleza privada</w:t>
      </w:r>
    </w:p>
    <w:p w:rsidR="003941D0" w:rsidRDefault="003941D0" w:rsidP="003941D0">
      <w:pPr>
        <w:pStyle w:val="Prrafodelista"/>
        <w:ind w:left="1068"/>
        <w:jc w:val="both"/>
      </w:pPr>
      <w:r>
        <w:t>En materia de administración y de indisponibilidad de estos derechos vale lo dicho para los de naturaleza pública</w:t>
      </w:r>
      <w:r w:rsidR="00CB2C98">
        <w:t>. Además hay que añadir que la efectividad de los derechos de naturaleza privada se llevará a cabo con sujeción a las normas y procedimientos de derecho privado.</w:t>
      </w:r>
    </w:p>
    <w:p w:rsidR="00CB2C98" w:rsidRDefault="00CB2C98" w:rsidP="003941D0">
      <w:pPr>
        <w:pStyle w:val="Prrafodelista"/>
        <w:ind w:left="1068"/>
        <w:jc w:val="both"/>
      </w:pPr>
    </w:p>
    <w:p w:rsidR="00CB2C98" w:rsidRDefault="00CB2C98" w:rsidP="003941D0">
      <w:pPr>
        <w:pStyle w:val="Prrafodelista"/>
        <w:ind w:left="1068"/>
        <w:jc w:val="both"/>
      </w:pPr>
      <w:r>
        <w:t>OBLIGACIONES DE LA HACIENDA PÚBLICA</w:t>
      </w:r>
    </w:p>
    <w:p w:rsidR="00CB2C98" w:rsidRDefault="00361100" w:rsidP="003941D0">
      <w:pPr>
        <w:pStyle w:val="Prrafodelista"/>
        <w:ind w:left="1068"/>
        <w:jc w:val="both"/>
      </w:pPr>
      <w:r>
        <w:t>El régimen de las obligaciones de la Hacienda Pública se contiene fundamentalmente en los artículos 20 a 25 de la LGP.</w:t>
      </w:r>
    </w:p>
    <w:p w:rsidR="00361100" w:rsidRDefault="00361100" w:rsidP="007A7DF8">
      <w:pPr>
        <w:pStyle w:val="Prrafodelista"/>
        <w:numPr>
          <w:ilvl w:val="0"/>
          <w:numId w:val="5"/>
        </w:numPr>
        <w:jc w:val="both"/>
      </w:pPr>
      <w:r>
        <w:t>Nacimiento: Las obligaciones de la Hacienda Pública nacen de la Ley, de los negocios jurídicos y de los actos o hechos que, según de</w:t>
      </w:r>
      <w:r w:rsidR="002978D8">
        <w:t>recho las generen.</w:t>
      </w:r>
    </w:p>
    <w:p w:rsidR="002978D8" w:rsidRDefault="002978D8" w:rsidP="007A7DF8">
      <w:pPr>
        <w:pStyle w:val="Prrafodelista"/>
        <w:numPr>
          <w:ilvl w:val="0"/>
          <w:numId w:val="5"/>
        </w:numPr>
        <w:jc w:val="both"/>
      </w:pPr>
      <w:r>
        <w:t>Exigibilidad</w:t>
      </w:r>
      <w:r w:rsidR="006D2D4A">
        <w:t>: Las obligaciones de la hacienda pública estatal solo son exigibles cuando resulten de la ejecución de los Presupuestos de conformidad con lo establecido en esta ley, de sentencia judicial firme, o de operaciones no presupuestarias legalmente autorizadas. Si dichas obligaciones tienen por causa prestaciones o servicios, el pago no podrá efectuarse si el acreedor no ha cumplido o garantizado su correlativa obligación.</w:t>
      </w:r>
    </w:p>
    <w:p w:rsidR="006D2D4A" w:rsidRDefault="006D2D4A" w:rsidP="007A7DF8">
      <w:pPr>
        <w:pStyle w:val="Prrafodelista"/>
        <w:numPr>
          <w:ilvl w:val="0"/>
          <w:numId w:val="5"/>
        </w:numPr>
        <w:jc w:val="both"/>
      </w:pPr>
      <w:r>
        <w:t>Prerrogativas de la Administración: Ningún tribunal ni autoridad administrativa podrá dictar providencia de embargo ni despachar mandamiento de ejecución contra los bienes o derechos afectados a un servicio público o función pública</w:t>
      </w:r>
      <w:r w:rsidR="00A115B9">
        <w:t>. El cumplimiento de las resoluciones judiciales corresponderá al órgano administrativo competente por razón de la materia.</w:t>
      </w:r>
    </w:p>
    <w:p w:rsidR="00A115B9" w:rsidRDefault="00A115B9" w:rsidP="007A7DF8">
      <w:pPr>
        <w:pStyle w:val="Prrafodelista"/>
        <w:numPr>
          <w:ilvl w:val="0"/>
          <w:numId w:val="5"/>
        </w:numPr>
        <w:jc w:val="both"/>
      </w:pPr>
      <w:r>
        <w:t>Demora en el pago</w:t>
      </w:r>
      <w:r w:rsidR="00E80103">
        <w:t xml:space="preserve"> (Art. 24 LGP)</w:t>
      </w:r>
      <w:r>
        <w:t>: Si la Administración no pagara en el plazo de tres meses siguientes al reconocimiento de la obligación habrá de abonar el interés de demora antes comentado para los derechos (interés legal previsto en Ley de Presupuestos)</w:t>
      </w:r>
    </w:p>
    <w:p w:rsidR="00A115B9" w:rsidRDefault="00A115B9" w:rsidP="007A7DF8">
      <w:pPr>
        <w:pStyle w:val="Prrafodelista"/>
        <w:numPr>
          <w:ilvl w:val="0"/>
          <w:numId w:val="5"/>
        </w:numPr>
        <w:jc w:val="both"/>
      </w:pPr>
      <w:r>
        <w:lastRenderedPageBreak/>
        <w:t>Prescripción</w:t>
      </w:r>
      <w:r w:rsidR="00E80103">
        <w:t xml:space="preserve"> (Art. 25 LGP)</w:t>
      </w:r>
      <w:r>
        <w:t>: Prescribirán a los 4 años el derecho al reconocimiento de la obligación y el derecho a exigir obligaciones ya reconocidas o liquidadas.</w:t>
      </w:r>
    </w:p>
    <w:p w:rsidR="00A115B9" w:rsidRDefault="00A115B9" w:rsidP="00A115B9">
      <w:pPr>
        <w:pStyle w:val="Prrafodelista"/>
        <w:ind w:left="1428"/>
        <w:jc w:val="both"/>
      </w:pPr>
    </w:p>
    <w:p w:rsidR="00A115B9" w:rsidRDefault="00A115B9" w:rsidP="007A7DF8">
      <w:pPr>
        <w:pStyle w:val="Prrafodelista"/>
        <w:numPr>
          <w:ilvl w:val="0"/>
          <w:numId w:val="1"/>
        </w:numPr>
        <w:jc w:val="both"/>
        <w:rPr>
          <w:b/>
        </w:rPr>
      </w:pPr>
      <w:r>
        <w:rPr>
          <w:b/>
        </w:rPr>
        <w:t>LOS PRESUPUESTOS GENERALES DEL ESTADO</w:t>
      </w:r>
    </w:p>
    <w:p w:rsidR="00A115B9" w:rsidRDefault="00A115B9" w:rsidP="00A115B9">
      <w:pPr>
        <w:pStyle w:val="Prrafodelista"/>
        <w:ind w:left="644"/>
        <w:jc w:val="both"/>
        <w:rPr>
          <w:b/>
        </w:rPr>
      </w:pPr>
    </w:p>
    <w:p w:rsidR="0048745E" w:rsidRPr="002C7D97" w:rsidRDefault="0048745E" w:rsidP="0048745E">
      <w:pPr>
        <w:spacing w:after="120"/>
        <w:ind w:left="284"/>
        <w:jc w:val="both"/>
        <w:rPr>
          <w:rFonts w:ascii="Calibri" w:eastAsia="Calibri" w:hAnsi="Calibri" w:cs="Times New Roman"/>
          <w:sz w:val="23"/>
          <w:szCs w:val="23"/>
        </w:rPr>
      </w:pPr>
      <w:r w:rsidRPr="002C7D97">
        <w:rPr>
          <w:rFonts w:ascii="Calibri" w:eastAsia="Calibri" w:hAnsi="Calibri" w:cs="Times New Roman"/>
          <w:sz w:val="23"/>
          <w:szCs w:val="23"/>
        </w:rPr>
        <w:t>Establece el A</w:t>
      </w:r>
      <w:r w:rsidR="00E80103" w:rsidRPr="002C7D97">
        <w:rPr>
          <w:rFonts w:ascii="Calibri" w:eastAsia="Calibri" w:hAnsi="Calibri" w:cs="Times New Roman"/>
          <w:sz w:val="23"/>
          <w:szCs w:val="23"/>
        </w:rPr>
        <w:t>rt</w:t>
      </w:r>
      <w:r w:rsidRPr="002C7D97">
        <w:rPr>
          <w:rFonts w:ascii="Calibri" w:eastAsia="Calibri" w:hAnsi="Calibri" w:cs="Times New Roman"/>
          <w:sz w:val="23"/>
          <w:szCs w:val="23"/>
        </w:rPr>
        <w:t>. 32 de la LGP que los Presupuestos Generales del Estado (PGE) constituyen la expresión cifrada, conjunta y sistemática de los derechos y obligaciones a liquidar durante el ejercicio por cada uno de los órganos y entidades que forman parte del sector público estatal.</w:t>
      </w:r>
    </w:p>
    <w:p w:rsidR="0048745E" w:rsidRPr="002C7D97" w:rsidRDefault="0048745E" w:rsidP="0048745E">
      <w:pPr>
        <w:spacing w:after="40"/>
        <w:ind w:left="284"/>
        <w:jc w:val="both"/>
        <w:rPr>
          <w:rFonts w:ascii="Calibri" w:eastAsia="Calibri" w:hAnsi="Calibri" w:cs="Times New Roman"/>
          <w:sz w:val="23"/>
          <w:szCs w:val="23"/>
        </w:rPr>
      </w:pPr>
      <w:r w:rsidRPr="002C7D97">
        <w:rPr>
          <w:rFonts w:ascii="Calibri" w:eastAsia="Calibri" w:hAnsi="Calibri" w:cs="Times New Roman"/>
          <w:sz w:val="23"/>
          <w:szCs w:val="23"/>
        </w:rPr>
        <w:t>Indica el Art. 2 que a los efectos de la LGP forman parte del sector público estatal:</w:t>
      </w:r>
    </w:p>
    <w:p w:rsidR="0048745E" w:rsidRPr="00367C4A" w:rsidRDefault="0048745E" w:rsidP="007A7DF8">
      <w:pPr>
        <w:numPr>
          <w:ilvl w:val="0"/>
          <w:numId w:val="6"/>
        </w:numPr>
        <w:tabs>
          <w:tab w:val="clear" w:pos="720"/>
        </w:tabs>
        <w:spacing w:after="4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La AGE.</w:t>
      </w:r>
    </w:p>
    <w:p w:rsidR="0048745E" w:rsidRPr="00367C4A" w:rsidRDefault="0048745E" w:rsidP="007A7DF8">
      <w:pPr>
        <w:numPr>
          <w:ilvl w:val="0"/>
          <w:numId w:val="6"/>
        </w:numPr>
        <w:tabs>
          <w:tab w:val="clear" w:pos="720"/>
        </w:tabs>
        <w:spacing w:after="4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El sector público institucional estatal</w:t>
      </w:r>
    </w:p>
    <w:p w:rsidR="0048745E" w:rsidRPr="00367C4A" w:rsidRDefault="0048745E" w:rsidP="0048745E">
      <w:pPr>
        <w:spacing w:after="40"/>
        <w:ind w:left="284"/>
        <w:jc w:val="both"/>
        <w:rPr>
          <w:rFonts w:ascii="Calibri" w:eastAsia="Calibri" w:hAnsi="Calibri" w:cs="Times New Roman"/>
          <w:sz w:val="23"/>
          <w:szCs w:val="23"/>
        </w:rPr>
      </w:pPr>
      <w:r w:rsidRPr="00367C4A">
        <w:rPr>
          <w:rFonts w:ascii="Calibri" w:eastAsia="Calibri" w:hAnsi="Calibri" w:cs="Times New Roman"/>
          <w:sz w:val="23"/>
          <w:szCs w:val="23"/>
        </w:rPr>
        <w:t xml:space="preserve">Integran el sector público institucional estatal </w:t>
      </w:r>
    </w:p>
    <w:p w:rsidR="0048745E" w:rsidRPr="00367C4A" w:rsidRDefault="0048745E" w:rsidP="007A7DF8">
      <w:pPr>
        <w:numPr>
          <w:ilvl w:val="0"/>
          <w:numId w:val="10"/>
        </w:numPr>
        <w:spacing w:after="40" w:line="240" w:lineRule="auto"/>
        <w:ind w:left="1004"/>
        <w:jc w:val="both"/>
        <w:rPr>
          <w:rFonts w:ascii="Calibri" w:eastAsia="Calibri" w:hAnsi="Calibri" w:cs="Times New Roman"/>
          <w:sz w:val="23"/>
          <w:szCs w:val="23"/>
        </w:rPr>
      </w:pPr>
      <w:r w:rsidRPr="00367C4A">
        <w:rPr>
          <w:rFonts w:ascii="Calibri" w:eastAsia="Calibri" w:hAnsi="Calibri" w:cs="Times New Roman"/>
          <w:sz w:val="23"/>
          <w:szCs w:val="23"/>
        </w:rPr>
        <w:t>Los organismos públicos vinculados o dependientes de la AGE que se clasifican en:</w:t>
      </w:r>
    </w:p>
    <w:p w:rsidR="0048745E" w:rsidRPr="00367C4A" w:rsidRDefault="0048745E" w:rsidP="007A7DF8">
      <w:pPr>
        <w:numPr>
          <w:ilvl w:val="0"/>
          <w:numId w:val="11"/>
        </w:numPr>
        <w:spacing w:after="40" w:line="240" w:lineRule="auto"/>
        <w:ind w:left="1364"/>
        <w:jc w:val="both"/>
        <w:rPr>
          <w:rFonts w:ascii="Calibri" w:eastAsia="Calibri" w:hAnsi="Calibri" w:cs="Times New Roman"/>
          <w:sz w:val="23"/>
          <w:szCs w:val="23"/>
        </w:rPr>
      </w:pPr>
      <w:r w:rsidRPr="00367C4A">
        <w:rPr>
          <w:rFonts w:ascii="Calibri" w:eastAsia="Calibri" w:hAnsi="Calibri" w:cs="Times New Roman"/>
          <w:sz w:val="23"/>
          <w:szCs w:val="23"/>
        </w:rPr>
        <w:t>Organismos autónomos</w:t>
      </w:r>
    </w:p>
    <w:p w:rsidR="0048745E" w:rsidRPr="00367C4A" w:rsidRDefault="0048745E" w:rsidP="007A7DF8">
      <w:pPr>
        <w:numPr>
          <w:ilvl w:val="0"/>
          <w:numId w:val="11"/>
        </w:numPr>
        <w:spacing w:after="40" w:line="240" w:lineRule="auto"/>
        <w:ind w:left="1364"/>
        <w:jc w:val="both"/>
        <w:rPr>
          <w:rFonts w:ascii="Calibri" w:eastAsia="Calibri" w:hAnsi="Calibri" w:cs="Times New Roman"/>
          <w:sz w:val="23"/>
          <w:szCs w:val="23"/>
        </w:rPr>
      </w:pPr>
      <w:r w:rsidRPr="00367C4A">
        <w:rPr>
          <w:rFonts w:ascii="Calibri" w:eastAsia="Calibri" w:hAnsi="Calibri" w:cs="Times New Roman"/>
          <w:sz w:val="23"/>
          <w:szCs w:val="23"/>
        </w:rPr>
        <w:t>Entidades Públicas empresariales</w:t>
      </w:r>
    </w:p>
    <w:p w:rsidR="0048745E" w:rsidRPr="00367C4A" w:rsidRDefault="0048745E" w:rsidP="007A7DF8">
      <w:pPr>
        <w:numPr>
          <w:ilvl w:val="0"/>
          <w:numId w:val="10"/>
        </w:numPr>
        <w:spacing w:after="40" w:line="240" w:lineRule="auto"/>
        <w:ind w:left="1004"/>
        <w:jc w:val="both"/>
        <w:rPr>
          <w:rFonts w:ascii="Calibri" w:eastAsia="Calibri" w:hAnsi="Calibri" w:cs="Times New Roman"/>
          <w:sz w:val="23"/>
          <w:szCs w:val="23"/>
        </w:rPr>
      </w:pPr>
      <w:r w:rsidRPr="00367C4A">
        <w:rPr>
          <w:rFonts w:ascii="Calibri" w:eastAsia="Calibri" w:hAnsi="Calibri" w:cs="Times New Roman"/>
          <w:sz w:val="23"/>
          <w:szCs w:val="23"/>
        </w:rPr>
        <w:t>Las autoridades administrativas independientes</w:t>
      </w:r>
    </w:p>
    <w:p w:rsidR="0048745E" w:rsidRPr="00367C4A" w:rsidRDefault="0048745E" w:rsidP="007A7DF8">
      <w:pPr>
        <w:numPr>
          <w:ilvl w:val="0"/>
          <w:numId w:val="10"/>
        </w:numPr>
        <w:spacing w:after="40" w:line="240" w:lineRule="auto"/>
        <w:ind w:left="1004"/>
        <w:jc w:val="both"/>
        <w:rPr>
          <w:rFonts w:ascii="Calibri" w:eastAsia="Calibri" w:hAnsi="Calibri" w:cs="Times New Roman"/>
          <w:sz w:val="23"/>
          <w:szCs w:val="23"/>
        </w:rPr>
      </w:pPr>
      <w:r w:rsidRPr="00367C4A">
        <w:rPr>
          <w:rFonts w:ascii="Calibri" w:eastAsia="Calibri" w:hAnsi="Calibri" w:cs="Times New Roman"/>
          <w:sz w:val="23"/>
          <w:szCs w:val="23"/>
        </w:rPr>
        <w:t>Las sociedades mercantiles estatales</w:t>
      </w:r>
    </w:p>
    <w:p w:rsidR="0048745E" w:rsidRPr="00367C4A" w:rsidRDefault="0048745E" w:rsidP="007A7DF8">
      <w:pPr>
        <w:numPr>
          <w:ilvl w:val="0"/>
          <w:numId w:val="10"/>
        </w:numPr>
        <w:spacing w:after="40" w:line="240" w:lineRule="auto"/>
        <w:ind w:left="1004"/>
        <w:jc w:val="both"/>
        <w:rPr>
          <w:rFonts w:ascii="Calibri" w:eastAsia="Calibri" w:hAnsi="Calibri" w:cs="Times New Roman"/>
          <w:sz w:val="23"/>
          <w:szCs w:val="23"/>
        </w:rPr>
      </w:pPr>
      <w:r w:rsidRPr="00367C4A">
        <w:rPr>
          <w:rFonts w:ascii="Calibri" w:eastAsia="Calibri" w:hAnsi="Calibri" w:cs="Times New Roman"/>
          <w:sz w:val="23"/>
          <w:szCs w:val="23"/>
        </w:rPr>
        <w:t>Los consorcios adscritos a la AGE</w:t>
      </w:r>
    </w:p>
    <w:p w:rsidR="0048745E" w:rsidRPr="00367C4A" w:rsidRDefault="0048745E" w:rsidP="007A7DF8">
      <w:pPr>
        <w:numPr>
          <w:ilvl w:val="0"/>
          <w:numId w:val="10"/>
        </w:numPr>
        <w:spacing w:after="4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Las fundaciones del sector público estatal</w:t>
      </w:r>
    </w:p>
    <w:p w:rsidR="0048745E" w:rsidRPr="00367C4A" w:rsidRDefault="0048745E" w:rsidP="007A7DF8">
      <w:pPr>
        <w:numPr>
          <w:ilvl w:val="0"/>
          <w:numId w:val="10"/>
        </w:numPr>
        <w:spacing w:after="4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Los fondos sin personalidad jurídica</w:t>
      </w:r>
    </w:p>
    <w:p w:rsidR="0048745E" w:rsidRPr="00367C4A" w:rsidRDefault="0048745E" w:rsidP="007A7DF8">
      <w:pPr>
        <w:numPr>
          <w:ilvl w:val="0"/>
          <w:numId w:val="10"/>
        </w:numPr>
        <w:spacing w:after="12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Las universidades públicas no transferidas</w:t>
      </w:r>
    </w:p>
    <w:p w:rsidR="0048745E" w:rsidRPr="00367C4A" w:rsidRDefault="0048745E" w:rsidP="007A7DF8">
      <w:pPr>
        <w:numPr>
          <w:ilvl w:val="0"/>
          <w:numId w:val="10"/>
        </w:numPr>
        <w:spacing w:after="12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Las entidades gestoras, servicios comunes y mutuas de la Seguridad Social</w:t>
      </w:r>
    </w:p>
    <w:p w:rsidR="0048745E" w:rsidRPr="00367C4A" w:rsidRDefault="0048745E" w:rsidP="007A7DF8">
      <w:pPr>
        <w:numPr>
          <w:ilvl w:val="0"/>
          <w:numId w:val="10"/>
        </w:numPr>
        <w:spacing w:after="12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Cualesquiera de organismos y entidades de derecho público vinculados o dependientes de la AGE</w:t>
      </w:r>
    </w:p>
    <w:p w:rsidR="0048745E" w:rsidRPr="00367C4A" w:rsidRDefault="0048745E" w:rsidP="0048745E">
      <w:pPr>
        <w:spacing w:after="120"/>
        <w:ind w:left="284"/>
        <w:jc w:val="both"/>
        <w:rPr>
          <w:rFonts w:ascii="Calibri" w:eastAsia="Calibri" w:hAnsi="Calibri" w:cs="Times New Roman"/>
          <w:sz w:val="23"/>
          <w:szCs w:val="23"/>
        </w:rPr>
      </w:pPr>
      <w:r w:rsidRPr="00367C4A">
        <w:rPr>
          <w:rFonts w:ascii="Calibri" w:eastAsia="Calibri" w:hAnsi="Calibri" w:cs="Times New Roman"/>
          <w:sz w:val="23"/>
          <w:szCs w:val="23"/>
        </w:rPr>
        <w:t>La LGP no se aplicará a las Cortes Generales que gozan de autonomía presupuestaria de acuerdo con lo establecido en el artículo 2 de la Constitución.</w:t>
      </w:r>
    </w:p>
    <w:p w:rsidR="0048745E" w:rsidRPr="002C7D97" w:rsidRDefault="0048745E" w:rsidP="0048745E">
      <w:pPr>
        <w:spacing w:after="120"/>
        <w:ind w:left="284"/>
        <w:jc w:val="both"/>
        <w:rPr>
          <w:rFonts w:ascii="Calibri" w:eastAsia="Calibri" w:hAnsi="Calibri" w:cs="Times New Roman"/>
          <w:sz w:val="23"/>
          <w:szCs w:val="23"/>
        </w:rPr>
      </w:pPr>
      <w:r w:rsidRPr="002C7D97">
        <w:rPr>
          <w:rFonts w:ascii="Calibri" w:eastAsia="Calibri" w:hAnsi="Calibri" w:cs="Times New Roman"/>
          <w:sz w:val="23"/>
          <w:szCs w:val="23"/>
        </w:rPr>
        <w:t>A los efectos de la LGP, conforme al Art. 3, el sector público estatal se divide en:</w:t>
      </w:r>
    </w:p>
    <w:p w:rsidR="0048745E" w:rsidRPr="002C7D97" w:rsidRDefault="0048745E" w:rsidP="007A7DF8">
      <w:pPr>
        <w:numPr>
          <w:ilvl w:val="0"/>
          <w:numId w:val="7"/>
        </w:numPr>
        <w:tabs>
          <w:tab w:val="clear" w:pos="720"/>
        </w:tabs>
        <w:spacing w:after="40" w:line="240" w:lineRule="auto"/>
        <w:ind w:left="644"/>
        <w:jc w:val="both"/>
        <w:rPr>
          <w:rFonts w:ascii="Calibri" w:eastAsia="Calibri" w:hAnsi="Calibri" w:cs="Times New Roman"/>
          <w:sz w:val="23"/>
          <w:szCs w:val="23"/>
        </w:rPr>
      </w:pPr>
      <w:r w:rsidRPr="002C7D97">
        <w:rPr>
          <w:rFonts w:ascii="Calibri" w:eastAsia="Calibri" w:hAnsi="Calibri" w:cs="Times New Roman"/>
          <w:sz w:val="23"/>
          <w:szCs w:val="23"/>
        </w:rPr>
        <w:t xml:space="preserve">El </w:t>
      </w:r>
      <w:r w:rsidRPr="002C7D97">
        <w:rPr>
          <w:rFonts w:ascii="Calibri" w:eastAsia="Calibri" w:hAnsi="Calibri" w:cs="Times New Roman"/>
          <w:i/>
          <w:sz w:val="23"/>
          <w:szCs w:val="23"/>
        </w:rPr>
        <w:t>sector público administrativo</w:t>
      </w:r>
      <w:r w:rsidRPr="002C7D97">
        <w:rPr>
          <w:rFonts w:ascii="Calibri" w:eastAsia="Calibri" w:hAnsi="Calibri" w:cs="Times New Roman"/>
          <w:sz w:val="23"/>
          <w:szCs w:val="23"/>
        </w:rPr>
        <w:t>, integrado por:</w:t>
      </w:r>
    </w:p>
    <w:p w:rsidR="0048745E" w:rsidRPr="00367C4A" w:rsidRDefault="0048745E" w:rsidP="007A7DF8">
      <w:pPr>
        <w:numPr>
          <w:ilvl w:val="0"/>
          <w:numId w:val="8"/>
        </w:numPr>
        <w:tabs>
          <w:tab w:val="clear" w:pos="720"/>
          <w:tab w:val="num" w:pos="1004"/>
        </w:tabs>
        <w:spacing w:after="40" w:line="240" w:lineRule="auto"/>
        <w:ind w:left="1004"/>
        <w:jc w:val="both"/>
        <w:rPr>
          <w:rFonts w:ascii="Calibri" w:eastAsia="Calibri" w:hAnsi="Calibri" w:cs="Times New Roman"/>
          <w:sz w:val="23"/>
          <w:szCs w:val="23"/>
        </w:rPr>
      </w:pPr>
      <w:r w:rsidRPr="00367C4A">
        <w:rPr>
          <w:rFonts w:ascii="Calibri" w:eastAsia="Calibri" w:hAnsi="Calibri" w:cs="Times New Roman"/>
          <w:sz w:val="23"/>
          <w:szCs w:val="23"/>
        </w:rPr>
        <w:t>La AGE, los Organismos autónomos, las autoridades administrativas independientes, las universidades públicas no transferidas, la entidades gestoras, servicios comunes y mutuas de la Seguridad Social</w:t>
      </w:r>
    </w:p>
    <w:p w:rsidR="0048745E" w:rsidRPr="00367C4A" w:rsidRDefault="0048745E" w:rsidP="007A7DF8">
      <w:pPr>
        <w:numPr>
          <w:ilvl w:val="0"/>
          <w:numId w:val="8"/>
        </w:numPr>
        <w:tabs>
          <w:tab w:val="clear" w:pos="720"/>
          <w:tab w:val="num" w:pos="1004"/>
        </w:tabs>
        <w:spacing w:after="40" w:line="240" w:lineRule="auto"/>
        <w:ind w:left="1004"/>
        <w:jc w:val="both"/>
        <w:rPr>
          <w:rFonts w:ascii="Calibri" w:eastAsia="Calibri" w:hAnsi="Calibri" w:cs="Times New Roman"/>
          <w:sz w:val="23"/>
          <w:szCs w:val="23"/>
        </w:rPr>
      </w:pPr>
      <w:r w:rsidRPr="00367C4A">
        <w:rPr>
          <w:rFonts w:ascii="Calibri" w:eastAsia="Calibri" w:hAnsi="Calibri" w:cs="Times New Roman"/>
          <w:sz w:val="23"/>
          <w:szCs w:val="23"/>
        </w:rPr>
        <w:t>Cualesquiera organismos y entidades de derecho público vinculados o dependientes de la AGE, los consorcios y los fondos sin personalidad jurídica siempre que:</w:t>
      </w:r>
    </w:p>
    <w:p w:rsidR="0048745E" w:rsidRPr="00367C4A" w:rsidRDefault="0048745E" w:rsidP="007A7DF8">
      <w:pPr>
        <w:numPr>
          <w:ilvl w:val="1"/>
          <w:numId w:val="8"/>
        </w:numPr>
        <w:tabs>
          <w:tab w:val="clear" w:pos="1440"/>
        </w:tabs>
        <w:spacing w:after="40" w:line="240" w:lineRule="auto"/>
        <w:ind w:left="1364"/>
        <w:jc w:val="both"/>
        <w:rPr>
          <w:rFonts w:ascii="Calibri" w:eastAsia="Calibri" w:hAnsi="Calibri" w:cs="Times New Roman"/>
          <w:sz w:val="23"/>
          <w:szCs w:val="23"/>
        </w:rPr>
      </w:pPr>
      <w:r w:rsidRPr="00367C4A">
        <w:rPr>
          <w:rFonts w:ascii="Calibri" w:eastAsia="Calibri" w:hAnsi="Calibri" w:cs="Times New Roman"/>
          <w:sz w:val="23"/>
          <w:szCs w:val="23"/>
        </w:rPr>
        <w:t>Su actividad principal no consista en la producción en régimen de mercado de bienes y servicios destinados al consumo individual o colectivo, o que efectúen operaciones de redistribución de la renta y de la riqueza nacional, en todo caso sin ánimo de lucro; o bien…</w:t>
      </w:r>
    </w:p>
    <w:p w:rsidR="0048745E" w:rsidRPr="00367C4A" w:rsidRDefault="0048745E" w:rsidP="007A7DF8">
      <w:pPr>
        <w:numPr>
          <w:ilvl w:val="1"/>
          <w:numId w:val="8"/>
        </w:numPr>
        <w:tabs>
          <w:tab w:val="clear" w:pos="1440"/>
        </w:tabs>
        <w:spacing w:after="120" w:line="240" w:lineRule="auto"/>
        <w:ind w:left="1364"/>
        <w:jc w:val="both"/>
        <w:rPr>
          <w:rFonts w:ascii="Calibri" w:eastAsia="Calibri" w:hAnsi="Calibri" w:cs="Times New Roman"/>
          <w:sz w:val="23"/>
          <w:szCs w:val="23"/>
        </w:rPr>
      </w:pPr>
      <w:r w:rsidRPr="00367C4A">
        <w:rPr>
          <w:rFonts w:ascii="Calibri" w:eastAsia="Calibri" w:hAnsi="Calibri" w:cs="Times New Roman"/>
          <w:sz w:val="23"/>
          <w:szCs w:val="23"/>
        </w:rPr>
        <w:lastRenderedPageBreak/>
        <w:t>No se financien mayoritariamente con ingresos comerciales (ingresos que son contrapartida de entregas de bienes o prestaciones de servicios)</w:t>
      </w:r>
    </w:p>
    <w:p w:rsidR="0048745E" w:rsidRPr="002C7D97" w:rsidRDefault="0048745E" w:rsidP="007A7DF8">
      <w:pPr>
        <w:numPr>
          <w:ilvl w:val="0"/>
          <w:numId w:val="7"/>
        </w:numPr>
        <w:tabs>
          <w:tab w:val="clear" w:pos="720"/>
        </w:tabs>
        <w:spacing w:after="120" w:line="240" w:lineRule="auto"/>
        <w:ind w:left="644"/>
        <w:jc w:val="both"/>
        <w:rPr>
          <w:rFonts w:ascii="Calibri" w:eastAsia="Calibri" w:hAnsi="Calibri" w:cs="Times New Roman"/>
          <w:sz w:val="23"/>
          <w:szCs w:val="23"/>
        </w:rPr>
      </w:pPr>
      <w:r w:rsidRPr="002C7D97">
        <w:rPr>
          <w:rFonts w:ascii="Calibri" w:eastAsia="Calibri" w:hAnsi="Calibri" w:cs="Times New Roman"/>
          <w:sz w:val="23"/>
          <w:szCs w:val="23"/>
        </w:rPr>
        <w:t xml:space="preserve">El </w:t>
      </w:r>
      <w:r w:rsidRPr="002C7D97">
        <w:rPr>
          <w:rFonts w:ascii="Calibri" w:eastAsia="Calibri" w:hAnsi="Calibri" w:cs="Times New Roman"/>
          <w:i/>
          <w:sz w:val="23"/>
          <w:szCs w:val="23"/>
        </w:rPr>
        <w:t>sector público empresarial</w:t>
      </w:r>
      <w:r w:rsidRPr="002C7D97">
        <w:rPr>
          <w:rFonts w:ascii="Calibri" w:eastAsia="Calibri" w:hAnsi="Calibri" w:cs="Times New Roman"/>
          <w:sz w:val="23"/>
          <w:szCs w:val="23"/>
        </w:rPr>
        <w:t>, integrado por:</w:t>
      </w:r>
    </w:p>
    <w:p w:rsidR="0048745E" w:rsidRPr="002C7D97" w:rsidRDefault="0048745E" w:rsidP="007A7DF8">
      <w:pPr>
        <w:numPr>
          <w:ilvl w:val="0"/>
          <w:numId w:val="9"/>
        </w:numPr>
        <w:tabs>
          <w:tab w:val="clear" w:pos="720"/>
          <w:tab w:val="num" w:pos="1004"/>
        </w:tabs>
        <w:spacing w:after="40" w:line="240" w:lineRule="auto"/>
        <w:ind w:left="1004"/>
        <w:jc w:val="both"/>
        <w:rPr>
          <w:rFonts w:ascii="Calibri" w:eastAsia="Calibri" w:hAnsi="Calibri" w:cs="Times New Roman"/>
          <w:sz w:val="23"/>
          <w:szCs w:val="23"/>
        </w:rPr>
      </w:pPr>
      <w:r w:rsidRPr="002C7D97">
        <w:rPr>
          <w:rFonts w:ascii="Calibri" w:eastAsia="Calibri" w:hAnsi="Calibri" w:cs="Times New Roman"/>
          <w:sz w:val="23"/>
          <w:szCs w:val="23"/>
        </w:rPr>
        <w:t xml:space="preserve">Las </w:t>
      </w:r>
      <w:r w:rsidRPr="002C7D97">
        <w:rPr>
          <w:rFonts w:ascii="Calibri" w:eastAsia="Calibri" w:hAnsi="Calibri" w:cs="Times New Roman"/>
        </w:rPr>
        <w:t>entidades públicas empresariales</w:t>
      </w:r>
      <w:r w:rsidRPr="002C7D97">
        <w:rPr>
          <w:rFonts w:ascii="Calibri" w:eastAsia="Calibri" w:hAnsi="Calibri" w:cs="Times New Roman"/>
          <w:sz w:val="23"/>
          <w:szCs w:val="23"/>
        </w:rPr>
        <w:t>.</w:t>
      </w:r>
    </w:p>
    <w:p w:rsidR="0048745E" w:rsidRPr="002C7D97" w:rsidRDefault="0048745E" w:rsidP="007A7DF8">
      <w:pPr>
        <w:numPr>
          <w:ilvl w:val="0"/>
          <w:numId w:val="9"/>
        </w:numPr>
        <w:tabs>
          <w:tab w:val="clear" w:pos="720"/>
          <w:tab w:val="num" w:pos="1004"/>
        </w:tabs>
        <w:spacing w:after="40" w:line="240" w:lineRule="auto"/>
        <w:ind w:left="1004"/>
        <w:jc w:val="both"/>
        <w:rPr>
          <w:rFonts w:ascii="Calibri" w:eastAsia="Calibri" w:hAnsi="Calibri" w:cs="Times New Roman"/>
          <w:sz w:val="23"/>
          <w:szCs w:val="23"/>
        </w:rPr>
      </w:pPr>
      <w:r w:rsidRPr="002C7D97">
        <w:rPr>
          <w:rFonts w:ascii="Calibri" w:eastAsia="Calibri" w:hAnsi="Calibri" w:cs="Times New Roman"/>
          <w:sz w:val="23"/>
          <w:szCs w:val="23"/>
        </w:rPr>
        <w:t xml:space="preserve">Las </w:t>
      </w:r>
      <w:r w:rsidRPr="002C7D97">
        <w:rPr>
          <w:rFonts w:ascii="Calibri" w:eastAsia="Calibri" w:hAnsi="Calibri" w:cs="Times New Roman"/>
        </w:rPr>
        <w:t>sociedades mercantiles estatales</w:t>
      </w:r>
      <w:r w:rsidRPr="002C7D97">
        <w:rPr>
          <w:rFonts w:ascii="Calibri" w:eastAsia="Calibri" w:hAnsi="Calibri" w:cs="Times New Roman"/>
          <w:sz w:val="23"/>
          <w:szCs w:val="23"/>
        </w:rPr>
        <w:t>.</w:t>
      </w:r>
    </w:p>
    <w:p w:rsidR="0048745E" w:rsidRPr="002C7D97" w:rsidRDefault="0048745E" w:rsidP="007A7DF8">
      <w:pPr>
        <w:numPr>
          <w:ilvl w:val="0"/>
          <w:numId w:val="9"/>
        </w:numPr>
        <w:tabs>
          <w:tab w:val="clear" w:pos="720"/>
          <w:tab w:val="num" w:pos="1004"/>
        </w:tabs>
        <w:spacing w:after="120" w:line="240" w:lineRule="auto"/>
        <w:ind w:left="1004"/>
        <w:jc w:val="both"/>
        <w:rPr>
          <w:rFonts w:ascii="Calibri" w:eastAsia="Calibri" w:hAnsi="Calibri" w:cs="Times New Roman"/>
          <w:sz w:val="23"/>
          <w:szCs w:val="23"/>
        </w:rPr>
      </w:pPr>
      <w:r w:rsidRPr="002C7D97">
        <w:rPr>
          <w:rFonts w:ascii="Calibri" w:eastAsia="Calibri" w:hAnsi="Calibri" w:cs="Times New Roman"/>
          <w:sz w:val="23"/>
          <w:szCs w:val="23"/>
        </w:rPr>
        <w:t>Cualesquiera organismos y entidades de derecho público vinculados o dependientes de la AGE, los consorcios y los fondos sin personalidad jurídica que no formen parte del sector público administrativo.</w:t>
      </w:r>
    </w:p>
    <w:p w:rsidR="0048745E" w:rsidRPr="002C7D97" w:rsidRDefault="0048745E" w:rsidP="007A7DF8">
      <w:pPr>
        <w:numPr>
          <w:ilvl w:val="0"/>
          <w:numId w:val="7"/>
        </w:numPr>
        <w:tabs>
          <w:tab w:val="clear" w:pos="720"/>
        </w:tabs>
        <w:spacing w:after="120" w:line="240" w:lineRule="auto"/>
        <w:ind w:left="644"/>
        <w:jc w:val="both"/>
        <w:rPr>
          <w:rFonts w:ascii="Calibri" w:eastAsia="Calibri" w:hAnsi="Calibri" w:cs="Times New Roman"/>
          <w:sz w:val="23"/>
          <w:szCs w:val="23"/>
        </w:rPr>
      </w:pPr>
      <w:r w:rsidRPr="002C7D97">
        <w:rPr>
          <w:rFonts w:ascii="Calibri" w:eastAsia="Calibri" w:hAnsi="Calibri" w:cs="Times New Roman"/>
          <w:sz w:val="23"/>
          <w:szCs w:val="23"/>
        </w:rPr>
        <w:t xml:space="preserve">El </w:t>
      </w:r>
      <w:r w:rsidRPr="002C7D97">
        <w:rPr>
          <w:rFonts w:ascii="Calibri" w:eastAsia="Calibri" w:hAnsi="Calibri" w:cs="Times New Roman"/>
          <w:i/>
          <w:sz w:val="23"/>
          <w:szCs w:val="23"/>
        </w:rPr>
        <w:t>sector público fundacional</w:t>
      </w:r>
      <w:r w:rsidRPr="002C7D97">
        <w:rPr>
          <w:rFonts w:ascii="Calibri" w:eastAsia="Calibri" w:hAnsi="Calibri" w:cs="Times New Roman"/>
          <w:sz w:val="23"/>
          <w:szCs w:val="23"/>
        </w:rPr>
        <w:t xml:space="preserve">, integrado por las </w:t>
      </w:r>
      <w:r w:rsidRPr="002C7D97">
        <w:rPr>
          <w:rFonts w:ascii="Calibri" w:eastAsia="Calibri" w:hAnsi="Calibri" w:cs="Times New Roman"/>
        </w:rPr>
        <w:t>fundaciones</w:t>
      </w:r>
      <w:r w:rsidRPr="002C7D97">
        <w:rPr>
          <w:rFonts w:ascii="Calibri" w:eastAsia="Calibri" w:hAnsi="Calibri" w:cs="Times New Roman"/>
          <w:sz w:val="23"/>
          <w:szCs w:val="23"/>
        </w:rPr>
        <w:t xml:space="preserve"> del sector público estatal.</w:t>
      </w:r>
    </w:p>
    <w:p w:rsidR="0048745E" w:rsidRPr="002C7D97" w:rsidRDefault="0048745E" w:rsidP="0048745E">
      <w:pPr>
        <w:spacing w:after="60"/>
        <w:ind w:left="284"/>
        <w:jc w:val="both"/>
        <w:rPr>
          <w:rFonts w:ascii="Calibri" w:eastAsia="Calibri" w:hAnsi="Calibri" w:cs="Times New Roman"/>
          <w:sz w:val="23"/>
          <w:szCs w:val="23"/>
        </w:rPr>
      </w:pPr>
      <w:r w:rsidRPr="002C7D97">
        <w:rPr>
          <w:rFonts w:ascii="Calibri" w:eastAsia="Calibri" w:hAnsi="Calibri" w:cs="Times New Roman"/>
          <w:sz w:val="23"/>
          <w:szCs w:val="23"/>
        </w:rPr>
        <w:t>Conforme a lo establecido en la LPGE para el año 2018, en los PGE se integra</w:t>
      </w:r>
    </w:p>
    <w:p w:rsidR="0048745E" w:rsidRPr="00367C4A" w:rsidRDefault="0048745E" w:rsidP="0048745E">
      <w:pPr>
        <w:spacing w:after="60"/>
        <w:ind w:left="284"/>
        <w:jc w:val="both"/>
        <w:rPr>
          <w:rFonts w:ascii="Calibri" w:eastAsia="Calibri" w:hAnsi="Calibri" w:cs="Times New Roman"/>
          <w:sz w:val="23"/>
          <w:szCs w:val="23"/>
        </w:rPr>
      </w:pPr>
      <w:r w:rsidRPr="00367C4A">
        <w:rPr>
          <w:rFonts w:ascii="Calibri" w:eastAsia="Calibri" w:hAnsi="Calibri" w:cs="Times New Roman"/>
          <w:sz w:val="23"/>
          <w:szCs w:val="23"/>
        </w:rPr>
        <w:t>-Los presupuestos de carácter limitativo de las siguientes entidades:</w:t>
      </w:r>
    </w:p>
    <w:p w:rsidR="0048745E" w:rsidRPr="00367C4A" w:rsidRDefault="0048745E" w:rsidP="007A7DF8">
      <w:pPr>
        <w:numPr>
          <w:ilvl w:val="0"/>
          <w:numId w:val="12"/>
        </w:numPr>
        <w:tabs>
          <w:tab w:val="clear" w:pos="720"/>
        </w:tabs>
        <w:spacing w:after="6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Del Estado.</w:t>
      </w:r>
    </w:p>
    <w:p w:rsidR="0048745E" w:rsidRPr="00367C4A" w:rsidRDefault="0048745E" w:rsidP="007A7DF8">
      <w:pPr>
        <w:numPr>
          <w:ilvl w:val="0"/>
          <w:numId w:val="12"/>
        </w:numPr>
        <w:tabs>
          <w:tab w:val="clear" w:pos="720"/>
        </w:tabs>
        <w:spacing w:after="6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 xml:space="preserve">De los organismos autónomos </w:t>
      </w:r>
    </w:p>
    <w:p w:rsidR="0048745E" w:rsidRPr="00367C4A" w:rsidRDefault="0048745E" w:rsidP="007A7DF8">
      <w:pPr>
        <w:numPr>
          <w:ilvl w:val="0"/>
          <w:numId w:val="12"/>
        </w:numPr>
        <w:tabs>
          <w:tab w:val="clear" w:pos="720"/>
        </w:tabs>
        <w:spacing w:after="6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De las integrantes del Sistema de la Seguridad Social.</w:t>
      </w:r>
    </w:p>
    <w:p w:rsidR="0048745E" w:rsidRPr="00367C4A" w:rsidRDefault="0048745E" w:rsidP="007A7DF8">
      <w:pPr>
        <w:numPr>
          <w:ilvl w:val="0"/>
          <w:numId w:val="12"/>
        </w:numPr>
        <w:tabs>
          <w:tab w:val="clear" w:pos="720"/>
        </w:tabs>
        <w:spacing w:after="60" w:line="240" w:lineRule="auto"/>
        <w:ind w:left="824"/>
        <w:jc w:val="both"/>
        <w:rPr>
          <w:rFonts w:ascii="Calibri" w:eastAsia="Calibri" w:hAnsi="Calibri" w:cs="Times New Roman"/>
          <w:sz w:val="23"/>
          <w:szCs w:val="23"/>
        </w:rPr>
      </w:pPr>
      <w:r w:rsidRPr="00367C4A">
        <w:rPr>
          <w:rFonts w:ascii="Calibri" w:eastAsia="Calibri" w:hAnsi="Calibri" w:cs="Times New Roman"/>
          <w:sz w:val="23"/>
          <w:szCs w:val="23"/>
        </w:rPr>
        <w:t>Del resto de entidades del sector público estatal especificadas en la Ley General Presupuestaria o cuya norma específica confiera un presupuesto de carácter limitativo.</w:t>
      </w:r>
    </w:p>
    <w:p w:rsidR="0048745E" w:rsidRPr="00367C4A" w:rsidRDefault="0048745E" w:rsidP="0048745E">
      <w:pPr>
        <w:spacing w:after="60"/>
        <w:ind w:left="284"/>
        <w:jc w:val="both"/>
        <w:rPr>
          <w:rFonts w:ascii="Calibri" w:eastAsia="Calibri" w:hAnsi="Calibri" w:cs="Times New Roman"/>
          <w:sz w:val="23"/>
          <w:szCs w:val="23"/>
        </w:rPr>
      </w:pPr>
      <w:r w:rsidRPr="00367C4A">
        <w:rPr>
          <w:rFonts w:ascii="Calibri" w:eastAsia="Calibri" w:hAnsi="Calibri" w:cs="Times New Roman"/>
          <w:sz w:val="23"/>
          <w:szCs w:val="23"/>
        </w:rPr>
        <w:t>-Los presupuestos de carácter estimativo de las siguientes entidades:</w:t>
      </w:r>
    </w:p>
    <w:p w:rsidR="0048745E" w:rsidRPr="00367C4A" w:rsidRDefault="0048745E" w:rsidP="0048745E">
      <w:pPr>
        <w:spacing w:after="60"/>
        <w:ind w:left="824"/>
        <w:jc w:val="both"/>
        <w:rPr>
          <w:rFonts w:ascii="Calibri" w:eastAsia="Calibri" w:hAnsi="Calibri" w:cs="Times New Roman"/>
          <w:sz w:val="23"/>
          <w:szCs w:val="23"/>
        </w:rPr>
      </w:pPr>
      <w:r w:rsidRPr="00367C4A">
        <w:rPr>
          <w:rFonts w:ascii="Calibri" w:eastAsia="Calibri" w:hAnsi="Calibri" w:cs="Times New Roman"/>
          <w:sz w:val="23"/>
          <w:szCs w:val="23"/>
        </w:rPr>
        <w:t>a) De las Entidades públicas empresariales, de las sociedades mercantiles estatales, de las fundaciones del sector público estatal y del resto de entidades del sector público estatal que aplican las normas contables del Código de Comercio y el PGC.</w:t>
      </w:r>
    </w:p>
    <w:p w:rsidR="0048745E" w:rsidRPr="00367C4A" w:rsidRDefault="0048745E" w:rsidP="0048745E">
      <w:pPr>
        <w:spacing w:after="60"/>
        <w:ind w:left="824"/>
        <w:jc w:val="both"/>
        <w:rPr>
          <w:rFonts w:ascii="Calibri" w:eastAsia="Calibri" w:hAnsi="Calibri" w:cs="Times New Roman"/>
          <w:sz w:val="23"/>
          <w:szCs w:val="23"/>
        </w:rPr>
      </w:pPr>
      <w:r w:rsidRPr="00367C4A">
        <w:rPr>
          <w:rFonts w:ascii="Calibri" w:eastAsia="Calibri" w:hAnsi="Calibri" w:cs="Times New Roman"/>
          <w:sz w:val="23"/>
          <w:szCs w:val="23"/>
        </w:rPr>
        <w:t>b) De los consorcios, las universidades públicas no transferidas, los fondos sin personalidad jurídica y las restantes entidades del sector público administrativo estatal con presupuesto estimativo.</w:t>
      </w:r>
    </w:p>
    <w:p w:rsidR="0048745E" w:rsidRPr="00367C4A" w:rsidRDefault="0048745E" w:rsidP="0048745E">
      <w:pPr>
        <w:spacing w:after="60"/>
        <w:ind w:left="284"/>
        <w:jc w:val="both"/>
        <w:rPr>
          <w:rFonts w:ascii="Calibri" w:eastAsia="Calibri" w:hAnsi="Calibri" w:cs="Times New Roman"/>
          <w:sz w:val="23"/>
          <w:szCs w:val="23"/>
        </w:rPr>
      </w:pPr>
      <w:r w:rsidRPr="00367C4A">
        <w:rPr>
          <w:rFonts w:ascii="Calibri" w:eastAsia="Calibri" w:hAnsi="Calibri" w:cs="Times New Roman"/>
          <w:sz w:val="23"/>
          <w:szCs w:val="23"/>
        </w:rPr>
        <w:t>-Asimismo, se aprueba el presupuesto de funcionamiento e inversiones del Banco de España.</w:t>
      </w:r>
    </w:p>
    <w:p w:rsidR="0048745E" w:rsidRPr="00367C4A" w:rsidRDefault="0048745E" w:rsidP="0048745E">
      <w:pPr>
        <w:ind w:left="284"/>
        <w:jc w:val="both"/>
      </w:pPr>
      <w:r w:rsidRPr="00367C4A">
        <w:t>ESTRUCTURA PRESUPUESTARIA</w:t>
      </w:r>
    </w:p>
    <w:p w:rsidR="0048745E" w:rsidRPr="002C7D97" w:rsidRDefault="0048745E" w:rsidP="0048745E">
      <w:pPr>
        <w:spacing w:after="80"/>
        <w:ind w:left="284"/>
        <w:jc w:val="both"/>
        <w:rPr>
          <w:rFonts w:ascii="Calibri" w:eastAsia="Calibri" w:hAnsi="Calibri" w:cs="Times New Roman"/>
          <w:sz w:val="23"/>
          <w:szCs w:val="23"/>
        </w:rPr>
      </w:pPr>
      <w:r w:rsidRPr="002C7D97">
        <w:rPr>
          <w:rFonts w:ascii="Calibri" w:eastAsia="Calibri" w:hAnsi="Calibri" w:cs="Times New Roman"/>
          <w:sz w:val="23"/>
          <w:szCs w:val="23"/>
        </w:rPr>
        <w:t>Las estructuras presupuestarias vienen reguladas en los A. 39, 40 y 41 de la LGP.</w:t>
      </w:r>
    </w:p>
    <w:p w:rsidR="0048745E" w:rsidRPr="002C7D97" w:rsidRDefault="0048745E" w:rsidP="0048745E">
      <w:pPr>
        <w:spacing w:after="80"/>
        <w:ind w:left="284"/>
        <w:jc w:val="both"/>
        <w:rPr>
          <w:rFonts w:ascii="Calibri" w:eastAsia="Calibri" w:hAnsi="Calibri" w:cs="Times New Roman"/>
          <w:sz w:val="23"/>
          <w:szCs w:val="23"/>
        </w:rPr>
      </w:pPr>
      <w:r w:rsidRPr="002C7D97">
        <w:rPr>
          <w:rFonts w:ascii="Calibri" w:eastAsia="Calibri" w:hAnsi="Calibri" w:cs="Times New Roman"/>
          <w:sz w:val="23"/>
          <w:szCs w:val="23"/>
        </w:rPr>
        <w:t>Establece el A. 39 que la estructura de los PGE y de sus anexos se determinará por el Ministerio de Hacienda teniendo en cuenta la organización del sector público estatal, la naturaleza económica de los ingresos y de los gastos y las finalidades y objetivos que se pretenda conseguir.</w:t>
      </w:r>
    </w:p>
    <w:p w:rsidR="0048745E" w:rsidRPr="002C7D97" w:rsidRDefault="0048745E" w:rsidP="0048745E">
      <w:pPr>
        <w:spacing w:after="80"/>
        <w:ind w:left="284"/>
        <w:jc w:val="both"/>
        <w:rPr>
          <w:rFonts w:ascii="Calibri" w:eastAsia="Calibri" w:hAnsi="Calibri" w:cs="Times New Roman"/>
          <w:sz w:val="23"/>
          <w:szCs w:val="23"/>
        </w:rPr>
      </w:pPr>
      <w:r w:rsidRPr="002C7D97">
        <w:rPr>
          <w:rFonts w:ascii="Calibri" w:eastAsia="Calibri" w:hAnsi="Calibri" w:cs="Times New Roman"/>
          <w:sz w:val="23"/>
          <w:szCs w:val="23"/>
        </w:rPr>
        <w:t xml:space="preserve">El A. 40 establece la estructura de los estados de gastos: </w:t>
      </w:r>
    </w:p>
    <w:p w:rsidR="0048745E" w:rsidRPr="002C7D97" w:rsidRDefault="0048745E" w:rsidP="0048745E">
      <w:pPr>
        <w:spacing w:after="40"/>
        <w:ind w:left="464"/>
        <w:jc w:val="both"/>
        <w:rPr>
          <w:rFonts w:ascii="Calibri" w:eastAsia="Calibri" w:hAnsi="Calibri" w:cs="Times New Roman"/>
          <w:sz w:val="23"/>
          <w:szCs w:val="23"/>
        </w:rPr>
      </w:pPr>
      <w:r w:rsidRPr="002C7D97">
        <w:rPr>
          <w:rFonts w:ascii="Calibri" w:eastAsia="Calibri" w:hAnsi="Calibri" w:cs="Times New Roman"/>
          <w:sz w:val="23"/>
          <w:szCs w:val="23"/>
        </w:rPr>
        <w:t>Los estados de gastos de los presupuestos a que se refiere el artículo 33.1.a) de esta ley se estructurarán de acuerdo con las siguientes clasificaciones:</w:t>
      </w:r>
    </w:p>
    <w:p w:rsidR="0048745E" w:rsidRPr="00367C4A" w:rsidRDefault="0048745E" w:rsidP="007A7DF8">
      <w:pPr>
        <w:numPr>
          <w:ilvl w:val="0"/>
          <w:numId w:val="14"/>
        </w:numPr>
        <w:tabs>
          <w:tab w:val="clear" w:pos="540"/>
          <w:tab w:val="num" w:pos="824"/>
        </w:tabs>
        <w:spacing w:after="40" w:line="240" w:lineRule="auto"/>
        <w:ind w:left="824"/>
        <w:jc w:val="both"/>
        <w:rPr>
          <w:rFonts w:ascii="Calibri" w:eastAsia="Calibri" w:hAnsi="Calibri" w:cs="Times New Roman"/>
          <w:sz w:val="23"/>
          <w:szCs w:val="23"/>
        </w:rPr>
      </w:pPr>
      <w:r w:rsidRPr="002C7D97">
        <w:rPr>
          <w:rFonts w:ascii="Calibri" w:eastAsia="Calibri" w:hAnsi="Calibri" w:cs="Times New Roman"/>
          <w:sz w:val="23"/>
          <w:szCs w:val="23"/>
        </w:rPr>
        <w:t xml:space="preserve">La </w:t>
      </w:r>
      <w:r w:rsidRPr="002C7D97">
        <w:rPr>
          <w:rFonts w:ascii="Calibri" w:eastAsia="Calibri" w:hAnsi="Calibri" w:cs="Times New Roman"/>
          <w:i/>
          <w:sz w:val="23"/>
          <w:szCs w:val="23"/>
        </w:rPr>
        <w:t>clasificación orgánica</w:t>
      </w:r>
      <w:r w:rsidRPr="002C7D97">
        <w:rPr>
          <w:rFonts w:ascii="Calibri" w:eastAsia="Calibri" w:hAnsi="Calibri" w:cs="Times New Roman"/>
          <w:sz w:val="23"/>
          <w:szCs w:val="23"/>
        </w:rPr>
        <w:t xml:space="preserve"> que agrupará por secciones y servicios los créditos asignados a los distintos centros gestores de gasto de los órganos con dotación diferenciada en los presupuestos, la Administración General del Estado, sus</w:t>
      </w:r>
      <w:r w:rsidRPr="00367C4A">
        <w:rPr>
          <w:rFonts w:ascii="Calibri" w:eastAsia="Calibri" w:hAnsi="Calibri" w:cs="Times New Roman"/>
          <w:sz w:val="23"/>
          <w:szCs w:val="23"/>
        </w:rPr>
        <w:t xml:space="preserve"> </w:t>
      </w:r>
      <w:r w:rsidRPr="00367C4A">
        <w:rPr>
          <w:rFonts w:ascii="Calibri" w:eastAsia="Calibri" w:hAnsi="Calibri" w:cs="Times New Roman"/>
          <w:sz w:val="23"/>
          <w:szCs w:val="23"/>
        </w:rPr>
        <w:lastRenderedPageBreak/>
        <w:t>organismos autónomos, entidades de la Seguridad Social y otras entidades, según proceda.</w:t>
      </w:r>
    </w:p>
    <w:p w:rsidR="0048745E" w:rsidRPr="002C7D97" w:rsidRDefault="0048745E" w:rsidP="007A7DF8">
      <w:pPr>
        <w:numPr>
          <w:ilvl w:val="0"/>
          <w:numId w:val="14"/>
        </w:numPr>
        <w:tabs>
          <w:tab w:val="clear" w:pos="540"/>
          <w:tab w:val="num" w:pos="824"/>
        </w:tabs>
        <w:spacing w:after="40" w:line="240" w:lineRule="auto"/>
        <w:ind w:left="824"/>
        <w:jc w:val="both"/>
        <w:rPr>
          <w:rFonts w:ascii="Calibri" w:eastAsia="Calibri" w:hAnsi="Calibri" w:cs="Times New Roman"/>
          <w:sz w:val="23"/>
          <w:szCs w:val="23"/>
        </w:rPr>
      </w:pPr>
      <w:r w:rsidRPr="002C7D97">
        <w:rPr>
          <w:rFonts w:ascii="Calibri" w:eastAsia="Calibri" w:hAnsi="Calibri" w:cs="Times New Roman"/>
          <w:sz w:val="23"/>
          <w:szCs w:val="23"/>
        </w:rPr>
        <w:t xml:space="preserve">La </w:t>
      </w:r>
      <w:r w:rsidRPr="002C7D97">
        <w:rPr>
          <w:rFonts w:ascii="Calibri" w:eastAsia="Calibri" w:hAnsi="Calibri" w:cs="Times New Roman"/>
          <w:i/>
          <w:sz w:val="23"/>
          <w:szCs w:val="23"/>
        </w:rPr>
        <w:t>clasificación por programas</w:t>
      </w:r>
      <w:r w:rsidRPr="002C7D97">
        <w:rPr>
          <w:rFonts w:ascii="Calibri" w:eastAsia="Calibri" w:hAnsi="Calibri" w:cs="Times New Roman"/>
          <w:sz w:val="23"/>
          <w:szCs w:val="23"/>
        </w:rPr>
        <w:t xml:space="preserve">, que permitirá a los centros gestores agrupar sus créditos conforme a lo señalado en el A. 35 y establecer, de acuerdo con el Ministerio de Hacienda y Administraciones Públicas, los objetivos a conseguir como resultado de su gestión presupuestaria. </w:t>
      </w:r>
    </w:p>
    <w:p w:rsidR="0048745E" w:rsidRPr="002C7D97" w:rsidRDefault="0048745E" w:rsidP="007A7DF8">
      <w:pPr>
        <w:numPr>
          <w:ilvl w:val="0"/>
          <w:numId w:val="14"/>
        </w:numPr>
        <w:tabs>
          <w:tab w:val="clear" w:pos="540"/>
          <w:tab w:val="num" w:pos="824"/>
        </w:tabs>
        <w:spacing w:after="80" w:line="240" w:lineRule="auto"/>
        <w:ind w:left="824"/>
        <w:jc w:val="both"/>
        <w:rPr>
          <w:rFonts w:ascii="Calibri" w:eastAsia="Calibri" w:hAnsi="Calibri" w:cs="Times New Roman"/>
          <w:sz w:val="23"/>
          <w:szCs w:val="23"/>
        </w:rPr>
      </w:pPr>
      <w:r w:rsidRPr="002C7D97">
        <w:rPr>
          <w:rFonts w:ascii="Calibri" w:eastAsia="Calibri" w:hAnsi="Calibri" w:cs="Times New Roman"/>
          <w:sz w:val="23"/>
          <w:szCs w:val="23"/>
        </w:rPr>
        <w:t xml:space="preserve">La </w:t>
      </w:r>
      <w:r w:rsidRPr="002C7D97">
        <w:rPr>
          <w:rFonts w:ascii="Calibri" w:eastAsia="Calibri" w:hAnsi="Calibri" w:cs="Times New Roman"/>
          <w:i/>
          <w:sz w:val="23"/>
          <w:szCs w:val="23"/>
        </w:rPr>
        <w:t>clasificación económica</w:t>
      </w:r>
      <w:r w:rsidRPr="002C7D97">
        <w:rPr>
          <w:rFonts w:ascii="Calibri" w:eastAsia="Calibri" w:hAnsi="Calibri" w:cs="Times New Roman"/>
          <w:sz w:val="23"/>
          <w:szCs w:val="23"/>
        </w:rPr>
        <w:t>, que agrupará los créditos por capítulos separando las operaciones corrientes, las de capital, las financieras y el Fondo de Contingencia de ejecución presupuestaria. Los capítulos se desglosarán en artículos y estos, a su vez, en conceptos que p</w:t>
      </w:r>
      <w:r w:rsidR="00E80103" w:rsidRPr="002C7D97">
        <w:rPr>
          <w:rFonts w:ascii="Calibri" w:eastAsia="Calibri" w:hAnsi="Calibri" w:cs="Times New Roman"/>
          <w:sz w:val="23"/>
          <w:szCs w:val="23"/>
        </w:rPr>
        <w:t>odrán dividirse en subconceptos:</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1. Gastos de Personal</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2. Gastos corrientes en bienes y servicios</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3. Gastos financieros</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4. Transferencias corrientes.</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5. Fondo de Contingencia y otros imprevistos</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6. Inversiones reales</w:t>
      </w:r>
    </w:p>
    <w:p w:rsidR="00E80103" w:rsidRPr="002C7D97" w:rsidRDefault="00E80103"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7. Transferencias de capital</w:t>
      </w:r>
    </w:p>
    <w:p w:rsidR="00A060D0" w:rsidRPr="002C7D97" w:rsidRDefault="00A060D0"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8. Activos financieros</w:t>
      </w:r>
    </w:p>
    <w:p w:rsidR="00A060D0" w:rsidRPr="002C7D97" w:rsidRDefault="00A060D0" w:rsidP="00A060D0">
      <w:pPr>
        <w:spacing w:after="40"/>
        <w:ind w:left="824"/>
        <w:jc w:val="both"/>
        <w:rPr>
          <w:rFonts w:ascii="Calibri" w:eastAsia="Calibri" w:hAnsi="Calibri" w:cs="Times New Roman"/>
          <w:sz w:val="23"/>
          <w:szCs w:val="23"/>
        </w:rPr>
      </w:pPr>
      <w:r w:rsidRPr="002C7D97">
        <w:rPr>
          <w:rFonts w:ascii="Calibri" w:eastAsia="Calibri" w:hAnsi="Calibri" w:cs="Times New Roman"/>
          <w:sz w:val="23"/>
          <w:szCs w:val="23"/>
        </w:rPr>
        <w:t>Capítulo 9. Pasivos financieros</w:t>
      </w:r>
    </w:p>
    <w:p w:rsidR="000E6FD3" w:rsidRPr="002C7D97" w:rsidRDefault="00E80103" w:rsidP="000E6FD3">
      <w:pPr>
        <w:numPr>
          <w:ilvl w:val="0"/>
          <w:numId w:val="14"/>
        </w:numPr>
        <w:tabs>
          <w:tab w:val="clear" w:pos="540"/>
          <w:tab w:val="num" w:pos="824"/>
        </w:tabs>
        <w:spacing w:after="80" w:line="240" w:lineRule="auto"/>
        <w:ind w:left="824"/>
        <w:jc w:val="both"/>
        <w:rPr>
          <w:rFonts w:ascii="Calibri" w:eastAsia="Calibri" w:hAnsi="Calibri" w:cs="Times New Roman"/>
          <w:sz w:val="23"/>
          <w:szCs w:val="23"/>
        </w:rPr>
      </w:pPr>
      <w:r w:rsidRPr="002C7D97">
        <w:rPr>
          <w:rFonts w:ascii="Calibri" w:eastAsia="Calibri" w:hAnsi="Calibri" w:cs="Times New Roman"/>
          <w:sz w:val="23"/>
          <w:szCs w:val="23"/>
        </w:rPr>
        <w:t>Estructura</w:t>
      </w:r>
      <w:r w:rsidR="000E6FD3" w:rsidRPr="002C7D97">
        <w:rPr>
          <w:rFonts w:ascii="Calibri" w:eastAsia="Calibri" w:hAnsi="Calibri" w:cs="Times New Roman"/>
          <w:sz w:val="23"/>
          <w:szCs w:val="23"/>
        </w:rPr>
        <w:t xml:space="preserve"> territorial</w:t>
      </w:r>
      <w:r w:rsidRPr="002C7D97">
        <w:rPr>
          <w:rFonts w:ascii="Calibri" w:eastAsia="Calibri" w:hAnsi="Calibri" w:cs="Times New Roman"/>
          <w:sz w:val="23"/>
          <w:szCs w:val="23"/>
        </w:rPr>
        <w:t>:</w:t>
      </w:r>
      <w:r w:rsidR="000E6FD3" w:rsidRPr="002C7D97">
        <w:rPr>
          <w:rFonts w:ascii="Calibri" w:eastAsia="Calibri" w:hAnsi="Calibri" w:cs="Times New Roman"/>
          <w:sz w:val="23"/>
          <w:szCs w:val="23"/>
        </w:rPr>
        <w:t xml:space="preserve"> los proyectos de inversión se detallarán en el anexo del presupuesto, con su clasificación territorial por CCAA, ciudades autónomas y provincias.</w:t>
      </w:r>
    </w:p>
    <w:p w:rsidR="000E6FD3" w:rsidRPr="002C7D97" w:rsidRDefault="000E6FD3" w:rsidP="000E6FD3">
      <w:pPr>
        <w:spacing w:after="80" w:line="240" w:lineRule="auto"/>
        <w:ind w:left="824"/>
        <w:jc w:val="both"/>
        <w:rPr>
          <w:rFonts w:ascii="Calibri" w:eastAsia="Calibri" w:hAnsi="Calibri" w:cs="Times New Roman"/>
          <w:sz w:val="23"/>
          <w:szCs w:val="23"/>
        </w:rPr>
      </w:pPr>
    </w:p>
    <w:p w:rsidR="0048745E" w:rsidRPr="002C7D97" w:rsidRDefault="0048745E" w:rsidP="0048745E">
      <w:pPr>
        <w:spacing w:after="80"/>
        <w:ind w:left="284"/>
        <w:jc w:val="both"/>
        <w:rPr>
          <w:rFonts w:ascii="Calibri" w:eastAsia="Calibri" w:hAnsi="Calibri" w:cs="Times New Roman"/>
          <w:sz w:val="23"/>
          <w:szCs w:val="23"/>
        </w:rPr>
      </w:pPr>
      <w:r w:rsidRPr="002C7D97">
        <w:rPr>
          <w:rFonts w:ascii="Calibri" w:eastAsia="Calibri" w:hAnsi="Calibri" w:cs="Times New Roman"/>
          <w:sz w:val="23"/>
          <w:szCs w:val="23"/>
        </w:rPr>
        <w:t xml:space="preserve">El A. 41 establece la estructura de los estados de ingresos: </w:t>
      </w:r>
    </w:p>
    <w:p w:rsidR="0048745E" w:rsidRPr="00367C4A" w:rsidRDefault="0048745E" w:rsidP="0048745E">
      <w:pPr>
        <w:spacing w:after="40"/>
        <w:ind w:left="464"/>
        <w:jc w:val="both"/>
        <w:rPr>
          <w:rFonts w:ascii="Calibri" w:eastAsia="Calibri" w:hAnsi="Calibri" w:cs="Times New Roman"/>
          <w:sz w:val="23"/>
          <w:szCs w:val="23"/>
        </w:rPr>
      </w:pPr>
      <w:r w:rsidRPr="00367C4A">
        <w:rPr>
          <w:rFonts w:ascii="Calibri" w:eastAsia="Calibri" w:hAnsi="Calibri" w:cs="Times New Roman"/>
          <w:sz w:val="23"/>
          <w:szCs w:val="23"/>
        </w:rPr>
        <w:t>Los estados de ingresos de los presupuestos a que se refiere el artículo 33.1.a) de esta ley se estructurarán siguiendo las clasificaciones orgánica y económica:</w:t>
      </w:r>
    </w:p>
    <w:p w:rsidR="0048745E" w:rsidRPr="002C7D97" w:rsidRDefault="0048745E" w:rsidP="007A7DF8">
      <w:pPr>
        <w:numPr>
          <w:ilvl w:val="0"/>
          <w:numId w:val="16"/>
        </w:numPr>
        <w:tabs>
          <w:tab w:val="clear" w:pos="540"/>
          <w:tab w:val="num" w:pos="824"/>
        </w:tabs>
        <w:spacing w:after="40" w:line="240" w:lineRule="auto"/>
        <w:ind w:left="824"/>
        <w:jc w:val="both"/>
        <w:rPr>
          <w:rFonts w:ascii="Calibri" w:eastAsia="Calibri" w:hAnsi="Calibri" w:cs="Times New Roman"/>
          <w:sz w:val="23"/>
          <w:szCs w:val="23"/>
        </w:rPr>
      </w:pPr>
      <w:r w:rsidRPr="002C7D97">
        <w:rPr>
          <w:rFonts w:ascii="Calibri" w:eastAsia="Calibri" w:hAnsi="Calibri" w:cs="Times New Roman"/>
          <w:sz w:val="23"/>
          <w:szCs w:val="23"/>
        </w:rPr>
        <w:t xml:space="preserve">La </w:t>
      </w:r>
      <w:r w:rsidRPr="002C7D97">
        <w:rPr>
          <w:rFonts w:ascii="Calibri" w:eastAsia="Calibri" w:hAnsi="Calibri" w:cs="Times New Roman"/>
          <w:i/>
          <w:sz w:val="23"/>
          <w:szCs w:val="23"/>
        </w:rPr>
        <w:t>clasificación orgánica</w:t>
      </w:r>
      <w:r w:rsidRPr="002C7D97">
        <w:rPr>
          <w:rFonts w:ascii="Calibri" w:eastAsia="Calibri" w:hAnsi="Calibri" w:cs="Times New Roman"/>
          <w:sz w:val="23"/>
          <w:szCs w:val="23"/>
        </w:rPr>
        <w:t xml:space="preserve"> distinguirá los ingresos correspondientes a la Administración General del Estado y los correspondientes a cada uno de los organismos autónomos, los de la Seguridad Social y los de otras entidades, según proceda.</w:t>
      </w:r>
    </w:p>
    <w:p w:rsidR="0048745E" w:rsidRDefault="0048745E" w:rsidP="007A7DF8">
      <w:pPr>
        <w:numPr>
          <w:ilvl w:val="0"/>
          <w:numId w:val="16"/>
        </w:numPr>
        <w:tabs>
          <w:tab w:val="clear" w:pos="540"/>
          <w:tab w:val="num" w:pos="824"/>
        </w:tabs>
        <w:spacing w:after="120" w:line="240" w:lineRule="auto"/>
        <w:ind w:left="824"/>
        <w:jc w:val="both"/>
        <w:rPr>
          <w:rFonts w:ascii="Calibri" w:eastAsia="Calibri" w:hAnsi="Calibri" w:cs="Times New Roman"/>
          <w:sz w:val="23"/>
          <w:szCs w:val="23"/>
        </w:rPr>
      </w:pPr>
      <w:r w:rsidRPr="002C7D97">
        <w:rPr>
          <w:rFonts w:ascii="Calibri" w:eastAsia="Calibri" w:hAnsi="Calibri" w:cs="Times New Roman"/>
          <w:sz w:val="23"/>
          <w:szCs w:val="23"/>
        </w:rPr>
        <w:t xml:space="preserve">La </w:t>
      </w:r>
      <w:r w:rsidRPr="002C7D97">
        <w:rPr>
          <w:rFonts w:ascii="Calibri" w:eastAsia="Calibri" w:hAnsi="Calibri" w:cs="Times New Roman"/>
          <w:i/>
          <w:sz w:val="23"/>
          <w:szCs w:val="23"/>
        </w:rPr>
        <w:t>clasificación económica</w:t>
      </w:r>
      <w:r w:rsidRPr="00367C4A">
        <w:rPr>
          <w:rFonts w:ascii="Calibri" w:eastAsia="Calibri" w:hAnsi="Calibri" w:cs="Times New Roman"/>
          <w:sz w:val="23"/>
          <w:szCs w:val="23"/>
        </w:rPr>
        <w:t xml:space="preserve"> agrupará los ingresos, separando los corrientes, los de capital, y las operaciones financieras. Los capítulos se desglosarán en artículos y éstos, a su vez, en conceptos que p</w:t>
      </w:r>
      <w:r w:rsidR="00A060D0">
        <w:rPr>
          <w:rFonts w:ascii="Calibri" w:eastAsia="Calibri" w:hAnsi="Calibri" w:cs="Times New Roman"/>
          <w:sz w:val="23"/>
          <w:szCs w:val="23"/>
        </w:rPr>
        <w:t>odrán dividirse en subconceptos: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1. Impuestos directos y cotizaciones sociales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2. Impuestos indirectos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3. Tasas, precios públicos y otros ingresos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4. Transferencias corrientes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5. Ingresos Patrimoniales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6. Enajenación de Inversiones reales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7. Transferencias de capital</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t>Capítulo 8. Activos financieros</w:t>
      </w:r>
    </w:p>
    <w:p w:rsidR="00A060D0" w:rsidRDefault="00A060D0" w:rsidP="00A060D0">
      <w:pPr>
        <w:spacing w:after="120" w:line="240" w:lineRule="auto"/>
        <w:ind w:left="824"/>
        <w:jc w:val="both"/>
        <w:rPr>
          <w:rFonts w:ascii="Calibri" w:eastAsia="Calibri" w:hAnsi="Calibri" w:cs="Times New Roman"/>
          <w:sz w:val="23"/>
          <w:szCs w:val="23"/>
        </w:rPr>
      </w:pPr>
      <w:r>
        <w:rPr>
          <w:rFonts w:ascii="Calibri" w:eastAsia="Calibri" w:hAnsi="Calibri" w:cs="Times New Roman"/>
          <w:sz w:val="23"/>
          <w:szCs w:val="23"/>
        </w:rPr>
        <w:lastRenderedPageBreak/>
        <w:t>Capítulo 9. Pasivos financieros.</w:t>
      </w:r>
    </w:p>
    <w:p w:rsidR="00A060D0" w:rsidRPr="00367C4A" w:rsidRDefault="00A060D0" w:rsidP="00A060D0">
      <w:pPr>
        <w:spacing w:after="120" w:line="240" w:lineRule="auto"/>
        <w:ind w:left="824"/>
        <w:jc w:val="both"/>
        <w:rPr>
          <w:rFonts w:ascii="Calibri" w:eastAsia="Calibri" w:hAnsi="Calibri" w:cs="Times New Roman"/>
          <w:sz w:val="23"/>
          <w:szCs w:val="23"/>
        </w:rPr>
      </w:pPr>
    </w:p>
    <w:p w:rsidR="0048745E" w:rsidRPr="00367C4A" w:rsidRDefault="0048745E" w:rsidP="007A7DF8">
      <w:pPr>
        <w:pStyle w:val="Prrafodelista"/>
        <w:numPr>
          <w:ilvl w:val="0"/>
          <w:numId w:val="1"/>
        </w:numPr>
        <w:jc w:val="both"/>
        <w:rPr>
          <w:b/>
        </w:rPr>
      </w:pPr>
      <w:r w:rsidRPr="00367C4A">
        <w:rPr>
          <w:b/>
        </w:rPr>
        <w:t>LA EJECUCIÓN DEL GASTO PÚBLICO</w:t>
      </w:r>
    </w:p>
    <w:p w:rsidR="00180D66" w:rsidRPr="002C7D97" w:rsidRDefault="00180D66" w:rsidP="00180D66">
      <w:pPr>
        <w:spacing w:after="120"/>
        <w:jc w:val="both"/>
        <w:rPr>
          <w:sz w:val="23"/>
          <w:szCs w:val="23"/>
        </w:rPr>
      </w:pPr>
      <w:r w:rsidRPr="002C7D97">
        <w:rPr>
          <w:sz w:val="23"/>
          <w:szCs w:val="23"/>
        </w:rPr>
        <w:t xml:space="preserve">El gasto público se identifica como el empleo de caudales públicos para la satisfacción de las necesidades públicas. Conviene distinguir los conceptos de gasto y pago: son gastos públicos las obligaciones presupuestarias reconocidas y liquidadas por la Administración, con cargo al mencionado presupuesto, mientras que son pagos las salidas materiales o virtuales de fondos de las Cajas para hacer efectiva cualquier obligación, entre ellas los gastos públicos. </w:t>
      </w:r>
    </w:p>
    <w:p w:rsidR="00180D66" w:rsidRPr="002C7D97" w:rsidRDefault="00180D66" w:rsidP="00180D66">
      <w:pPr>
        <w:spacing w:after="120"/>
        <w:jc w:val="both"/>
        <w:rPr>
          <w:sz w:val="23"/>
          <w:szCs w:val="23"/>
        </w:rPr>
      </w:pPr>
      <w:r w:rsidRPr="002C7D97">
        <w:rPr>
          <w:sz w:val="23"/>
          <w:szCs w:val="23"/>
        </w:rPr>
        <w:t>Distinguiremos dos fases: El procedimiento del gasto y el procedimiento del pago.</w:t>
      </w:r>
    </w:p>
    <w:p w:rsidR="00180D66" w:rsidRPr="002C7D97" w:rsidRDefault="00A060D0" w:rsidP="00180D66">
      <w:pPr>
        <w:spacing w:after="120"/>
        <w:jc w:val="both"/>
      </w:pPr>
      <w:r w:rsidRPr="002C7D97">
        <w:t>LIMITACIONES</w:t>
      </w:r>
    </w:p>
    <w:p w:rsidR="00180D66" w:rsidRPr="002C7D97" w:rsidRDefault="00180D66" w:rsidP="00180D66">
      <w:pPr>
        <w:spacing w:after="40"/>
        <w:jc w:val="both"/>
        <w:rPr>
          <w:sz w:val="23"/>
          <w:szCs w:val="23"/>
        </w:rPr>
      </w:pPr>
      <w:r w:rsidRPr="002C7D97">
        <w:rPr>
          <w:sz w:val="23"/>
          <w:szCs w:val="23"/>
        </w:rPr>
        <w:t xml:space="preserve">La Ley 47/2003, de 26 de noviembre, General Presupuestaria (en adelante LGP) establece ciertas limitaciones al gasto de las Administraciones Públicas: </w:t>
      </w:r>
    </w:p>
    <w:p w:rsidR="00180D66" w:rsidRPr="002C7D97" w:rsidRDefault="00180D66" w:rsidP="007A7DF8">
      <w:pPr>
        <w:numPr>
          <w:ilvl w:val="0"/>
          <w:numId w:val="17"/>
        </w:numPr>
        <w:tabs>
          <w:tab w:val="clear" w:pos="720"/>
        </w:tabs>
        <w:spacing w:after="40" w:line="240" w:lineRule="auto"/>
        <w:ind w:left="540"/>
        <w:jc w:val="both"/>
        <w:rPr>
          <w:sz w:val="23"/>
          <w:szCs w:val="23"/>
        </w:rPr>
      </w:pPr>
      <w:r w:rsidRPr="002C7D97">
        <w:rPr>
          <w:sz w:val="23"/>
          <w:szCs w:val="23"/>
        </w:rPr>
        <w:t>Una limitación cualitativa, enunciada en el A. 42: los créditos para gastos se destinarán exclusivamente a la finalidad específica para la que hayan sido autorizados por la Ley de Presupuestos o a la que resulte de las modificaciones aprobadas conforme a esta ley.</w:t>
      </w:r>
    </w:p>
    <w:p w:rsidR="00180D66" w:rsidRPr="00367C4A" w:rsidRDefault="00180D66" w:rsidP="00180D66">
      <w:pPr>
        <w:spacing w:after="40"/>
        <w:ind w:left="540"/>
        <w:jc w:val="both"/>
        <w:rPr>
          <w:sz w:val="23"/>
          <w:szCs w:val="23"/>
        </w:rPr>
      </w:pPr>
      <w:r w:rsidRPr="002C7D97">
        <w:rPr>
          <w:sz w:val="23"/>
          <w:szCs w:val="23"/>
        </w:rPr>
        <w:t>Según el artículo 43.1, en</w:t>
      </w:r>
      <w:r w:rsidRPr="00367C4A">
        <w:rPr>
          <w:sz w:val="23"/>
          <w:szCs w:val="23"/>
        </w:rPr>
        <w:t xml:space="preserve"> el presupuesto del Estado los créditos se especificarán a nivel de concepto, salvo los créditos dedicados a gastos de personal y los gastos corrientes en bienes y servicios, que se especificarán a nivel de artículo y las inversiones reales a nivel de capítulo.</w:t>
      </w:r>
    </w:p>
    <w:p w:rsidR="00180D66" w:rsidRPr="002C7D97" w:rsidRDefault="00180D66" w:rsidP="00180D66">
      <w:pPr>
        <w:spacing w:after="40"/>
        <w:ind w:left="540"/>
        <w:jc w:val="both"/>
        <w:rPr>
          <w:sz w:val="23"/>
          <w:szCs w:val="23"/>
        </w:rPr>
      </w:pPr>
      <w:r w:rsidRPr="002C7D97">
        <w:rPr>
          <w:sz w:val="23"/>
          <w:szCs w:val="23"/>
        </w:rPr>
        <w:t>El apartado 2, del artículo 43 señala que no obstante se especificarán al nivel que corresponda conforme a su concreta clasificación económica los siguientes créditos:</w:t>
      </w:r>
    </w:p>
    <w:p w:rsidR="00180D66" w:rsidRPr="00367C4A" w:rsidRDefault="00180D66" w:rsidP="007A7DF8">
      <w:pPr>
        <w:numPr>
          <w:ilvl w:val="2"/>
          <w:numId w:val="17"/>
        </w:numPr>
        <w:spacing w:after="40" w:line="240" w:lineRule="auto"/>
        <w:jc w:val="both"/>
        <w:rPr>
          <w:sz w:val="23"/>
          <w:szCs w:val="23"/>
        </w:rPr>
      </w:pPr>
      <w:r w:rsidRPr="002C7D97">
        <w:rPr>
          <w:sz w:val="23"/>
          <w:szCs w:val="23"/>
        </w:rPr>
        <w:t>Los destinados a atenciones</w:t>
      </w:r>
      <w:r w:rsidRPr="00367C4A">
        <w:rPr>
          <w:sz w:val="23"/>
          <w:szCs w:val="23"/>
        </w:rPr>
        <w:t xml:space="preserve"> protocolarias y representativas y los gastos reservados.</w:t>
      </w:r>
    </w:p>
    <w:p w:rsidR="00180D66" w:rsidRPr="00367C4A" w:rsidRDefault="00180D66" w:rsidP="007A7DF8">
      <w:pPr>
        <w:numPr>
          <w:ilvl w:val="2"/>
          <w:numId w:val="17"/>
        </w:numPr>
        <w:spacing w:after="40" w:line="240" w:lineRule="auto"/>
        <w:jc w:val="both"/>
        <w:rPr>
          <w:sz w:val="23"/>
          <w:szCs w:val="23"/>
        </w:rPr>
      </w:pPr>
      <w:r w:rsidRPr="00367C4A">
        <w:rPr>
          <w:sz w:val="23"/>
          <w:szCs w:val="23"/>
        </w:rPr>
        <w:t>Los destinados a arrendamientos de edificios y otras construcciones</w:t>
      </w:r>
    </w:p>
    <w:p w:rsidR="00180D66" w:rsidRPr="00367C4A" w:rsidRDefault="00180D66" w:rsidP="007A7DF8">
      <w:pPr>
        <w:numPr>
          <w:ilvl w:val="2"/>
          <w:numId w:val="17"/>
        </w:numPr>
        <w:spacing w:after="40" w:line="240" w:lineRule="auto"/>
        <w:jc w:val="both"/>
        <w:rPr>
          <w:sz w:val="23"/>
          <w:szCs w:val="23"/>
        </w:rPr>
      </w:pPr>
      <w:r w:rsidRPr="00367C4A">
        <w:rPr>
          <w:sz w:val="23"/>
          <w:szCs w:val="23"/>
        </w:rPr>
        <w:t>Los declarables ampliables conforme al artículo 54</w:t>
      </w:r>
    </w:p>
    <w:p w:rsidR="00180D66" w:rsidRPr="00367C4A" w:rsidRDefault="00180D66" w:rsidP="007A7DF8">
      <w:pPr>
        <w:numPr>
          <w:ilvl w:val="2"/>
          <w:numId w:val="17"/>
        </w:numPr>
        <w:spacing w:after="40" w:line="240" w:lineRule="auto"/>
        <w:jc w:val="both"/>
        <w:rPr>
          <w:sz w:val="23"/>
          <w:szCs w:val="23"/>
        </w:rPr>
      </w:pPr>
      <w:r w:rsidRPr="00367C4A">
        <w:rPr>
          <w:sz w:val="23"/>
          <w:szCs w:val="23"/>
        </w:rPr>
        <w:t>Los que establezcan asignaciones indicando perceptor o beneficiario, con excepción de las destinadas a atender transferencias corrientes o de capital al exterior</w:t>
      </w:r>
    </w:p>
    <w:p w:rsidR="00180D66" w:rsidRPr="00367C4A" w:rsidRDefault="00180D66" w:rsidP="007A7DF8">
      <w:pPr>
        <w:numPr>
          <w:ilvl w:val="2"/>
          <w:numId w:val="17"/>
        </w:numPr>
        <w:spacing w:after="40" w:line="240" w:lineRule="auto"/>
        <w:jc w:val="both"/>
        <w:rPr>
          <w:sz w:val="23"/>
          <w:szCs w:val="23"/>
        </w:rPr>
      </w:pPr>
      <w:r w:rsidRPr="00367C4A">
        <w:rPr>
          <w:sz w:val="23"/>
          <w:szCs w:val="23"/>
        </w:rPr>
        <w:t>Los que, en su caso, se establezcan en la Ley de Presupuestos de cada ejercicio.</w:t>
      </w:r>
    </w:p>
    <w:p w:rsidR="00180D66" w:rsidRPr="00367C4A" w:rsidRDefault="00180D66" w:rsidP="007A7DF8">
      <w:pPr>
        <w:numPr>
          <w:ilvl w:val="2"/>
          <w:numId w:val="17"/>
        </w:numPr>
        <w:spacing w:after="40" w:line="240" w:lineRule="auto"/>
        <w:jc w:val="both"/>
        <w:rPr>
          <w:sz w:val="23"/>
          <w:szCs w:val="23"/>
        </w:rPr>
      </w:pPr>
      <w:r w:rsidRPr="00367C4A">
        <w:rPr>
          <w:sz w:val="23"/>
          <w:szCs w:val="23"/>
        </w:rPr>
        <w:t>Los créditos extraordinarios que se concedan durante el ejercicio.</w:t>
      </w:r>
    </w:p>
    <w:p w:rsidR="00180D66" w:rsidRPr="00367C4A" w:rsidRDefault="00180D66" w:rsidP="00180D66">
      <w:pPr>
        <w:spacing w:after="40"/>
        <w:ind w:left="540"/>
        <w:jc w:val="both"/>
        <w:rPr>
          <w:sz w:val="23"/>
          <w:szCs w:val="23"/>
        </w:rPr>
      </w:pPr>
      <w:r w:rsidRPr="002C7D97">
        <w:rPr>
          <w:sz w:val="23"/>
          <w:szCs w:val="23"/>
        </w:rPr>
        <w:t>Según el artículo 44,</w:t>
      </w:r>
      <w:r w:rsidRPr="00367C4A">
        <w:rPr>
          <w:sz w:val="23"/>
          <w:szCs w:val="23"/>
        </w:rPr>
        <w:t xml:space="preserve"> en el presupuesto de los OOAA y de la Seguridad Social, los créditos se especificarán a nivel de concepto, con la excepción de los gastos de personal, gastos corrientes en bienes y servicios e inversiones reales que se especificarán a nivel de capítulo. Igualmente se especificarán al nivel que corresponda a su concreta clasificación económica los gastos que se acaban de relacionar en el artículo 43.2 y que se vuelven a citar en el artículo 44.2 esta vez referidos a los OOAA.</w:t>
      </w:r>
    </w:p>
    <w:p w:rsidR="00180D66" w:rsidRPr="00367C4A" w:rsidRDefault="00180D66" w:rsidP="00180D66">
      <w:pPr>
        <w:spacing w:after="40"/>
        <w:ind w:left="540"/>
        <w:jc w:val="both"/>
        <w:rPr>
          <w:sz w:val="23"/>
          <w:szCs w:val="23"/>
        </w:rPr>
      </w:pPr>
      <w:r w:rsidRPr="00367C4A">
        <w:rPr>
          <w:sz w:val="23"/>
          <w:szCs w:val="23"/>
        </w:rPr>
        <w:lastRenderedPageBreak/>
        <w:t>En las Agencias estatales, los gastos serán limitativos por su importe global y los ingresos estimativos, excepto los gastos de personal que tienen carácter limitativo por su cuantía total y subvenciones y atenciones protocolarias que tendrán carácter limitativo cualquiera que sea el nivel de clasificación al que se establezcan (Art. 27.2 Ley 28/2006)</w:t>
      </w:r>
    </w:p>
    <w:p w:rsidR="00180D66" w:rsidRPr="002C7D97" w:rsidRDefault="00180D66" w:rsidP="007A7DF8">
      <w:pPr>
        <w:numPr>
          <w:ilvl w:val="0"/>
          <w:numId w:val="17"/>
        </w:numPr>
        <w:tabs>
          <w:tab w:val="clear" w:pos="720"/>
        </w:tabs>
        <w:spacing w:after="40" w:line="240" w:lineRule="auto"/>
        <w:ind w:left="540"/>
        <w:jc w:val="both"/>
        <w:rPr>
          <w:sz w:val="23"/>
          <w:szCs w:val="23"/>
        </w:rPr>
      </w:pPr>
      <w:r w:rsidRPr="002C7D97">
        <w:rPr>
          <w:sz w:val="23"/>
          <w:szCs w:val="23"/>
        </w:rPr>
        <w:t>Una limitación cuantitativa, expresada en el A</w:t>
      </w:r>
      <w:r w:rsidR="002C7D97">
        <w:rPr>
          <w:sz w:val="23"/>
          <w:szCs w:val="23"/>
        </w:rPr>
        <w:t>rt</w:t>
      </w:r>
      <w:r w:rsidRPr="002C7D97">
        <w:rPr>
          <w:sz w:val="23"/>
          <w:szCs w:val="23"/>
        </w:rPr>
        <w:t xml:space="preserve">. 46: los créditos para gastos son limitativos. No podrán adquirirse compromisos de gasto ni adquirirse obligaciones por cuantía superior al importe de los créditos autorizados en los estados de gastos, siendo nulos de pleno derecho los actos administrativos y las disposiciones generales con rango inferior a ley que incumplan esta limitación. </w:t>
      </w:r>
    </w:p>
    <w:p w:rsidR="00180D66" w:rsidRPr="002C7D97" w:rsidRDefault="00180D66" w:rsidP="00180D66">
      <w:pPr>
        <w:spacing w:after="40"/>
        <w:ind w:left="540"/>
        <w:jc w:val="both"/>
        <w:rPr>
          <w:sz w:val="23"/>
          <w:szCs w:val="23"/>
        </w:rPr>
      </w:pPr>
      <w:r w:rsidRPr="002C7D97">
        <w:rPr>
          <w:sz w:val="23"/>
          <w:szCs w:val="23"/>
        </w:rPr>
        <w:t>Asimismo, la LOEPSF establece la fijación de un límite máximo anual de gasto no financiero coherente con los escenarios presupuestarios plurianuales previamente elaborados.</w:t>
      </w:r>
    </w:p>
    <w:p w:rsidR="00180D66" w:rsidRPr="00367C4A" w:rsidRDefault="00180D66" w:rsidP="007A7DF8">
      <w:pPr>
        <w:numPr>
          <w:ilvl w:val="0"/>
          <w:numId w:val="17"/>
        </w:numPr>
        <w:tabs>
          <w:tab w:val="clear" w:pos="720"/>
        </w:tabs>
        <w:spacing w:after="120" w:line="240" w:lineRule="auto"/>
        <w:ind w:left="540"/>
        <w:jc w:val="both"/>
        <w:rPr>
          <w:sz w:val="23"/>
          <w:szCs w:val="23"/>
        </w:rPr>
      </w:pPr>
      <w:r w:rsidRPr="002C7D97">
        <w:rPr>
          <w:sz w:val="23"/>
          <w:szCs w:val="23"/>
        </w:rPr>
        <w:t>Y una limitación temporal, establecida en su A</w:t>
      </w:r>
      <w:r w:rsidR="002C7D97">
        <w:rPr>
          <w:sz w:val="23"/>
          <w:szCs w:val="23"/>
        </w:rPr>
        <w:t>rt</w:t>
      </w:r>
      <w:r w:rsidRPr="002C7D97">
        <w:rPr>
          <w:sz w:val="23"/>
          <w:szCs w:val="23"/>
        </w:rPr>
        <w:t>. 34, que dice así: “el ejercicio presupuestario coincidirá con el año natural</w:t>
      </w:r>
      <w:r w:rsidRPr="00367C4A">
        <w:rPr>
          <w:sz w:val="23"/>
          <w:szCs w:val="23"/>
        </w:rPr>
        <w:t>, y a él se imputarán: los derechos económicos liquidados durante el ejercicio, cualquiera que sea el período del que deriven, y las obligaciones económicas reconocidas hasta el fin del mes de diciembre, siempre que correspondan a adquisiciones, obras, servicios, prestaciones o, en general, gastos realizados dentro del ejercicio y con cargo a los respectivos créditos.</w:t>
      </w:r>
    </w:p>
    <w:p w:rsidR="00180D66" w:rsidRPr="00367C4A" w:rsidRDefault="00180D66" w:rsidP="00180D66">
      <w:pPr>
        <w:spacing w:after="40"/>
        <w:jc w:val="both"/>
        <w:rPr>
          <w:sz w:val="23"/>
          <w:szCs w:val="23"/>
        </w:rPr>
      </w:pPr>
      <w:r w:rsidRPr="00367C4A">
        <w:rPr>
          <w:sz w:val="23"/>
          <w:szCs w:val="23"/>
        </w:rPr>
        <w:t xml:space="preserve">Cabe destacar como requisitos previos para la existencia del procedimiento administrativo de ejecución del presupuesto de gasto: </w:t>
      </w:r>
    </w:p>
    <w:p w:rsidR="00180D66" w:rsidRPr="00367C4A" w:rsidRDefault="00180D66" w:rsidP="007A7DF8">
      <w:pPr>
        <w:numPr>
          <w:ilvl w:val="2"/>
          <w:numId w:val="17"/>
        </w:numPr>
        <w:tabs>
          <w:tab w:val="clear" w:pos="2160"/>
        </w:tabs>
        <w:spacing w:after="40" w:line="240" w:lineRule="auto"/>
        <w:ind w:left="540"/>
        <w:jc w:val="both"/>
        <w:rPr>
          <w:sz w:val="23"/>
          <w:szCs w:val="23"/>
        </w:rPr>
      </w:pPr>
      <w:r w:rsidRPr="00367C4A">
        <w:rPr>
          <w:sz w:val="23"/>
          <w:szCs w:val="23"/>
        </w:rPr>
        <w:t>Existencia de una ley o norma de rango inferior o acuerdo de voluntades ajustadas a la Ley, de las que nace la obligación económica de la Administración o de los OOAA.</w:t>
      </w:r>
    </w:p>
    <w:p w:rsidR="00180D66" w:rsidRPr="00367C4A" w:rsidRDefault="00180D66" w:rsidP="007A7DF8">
      <w:pPr>
        <w:numPr>
          <w:ilvl w:val="2"/>
          <w:numId w:val="17"/>
        </w:numPr>
        <w:tabs>
          <w:tab w:val="clear" w:pos="2160"/>
        </w:tabs>
        <w:spacing w:after="0" w:line="240" w:lineRule="auto"/>
        <w:ind w:left="538" w:hanging="357"/>
        <w:jc w:val="both"/>
        <w:rPr>
          <w:sz w:val="23"/>
          <w:szCs w:val="23"/>
        </w:rPr>
      </w:pPr>
      <w:r w:rsidRPr="00367C4A">
        <w:rPr>
          <w:sz w:val="23"/>
          <w:szCs w:val="23"/>
        </w:rPr>
        <w:t xml:space="preserve">Existencia de crédito adecuado y suficiente para reconocer obligaciones. </w:t>
      </w:r>
    </w:p>
    <w:p w:rsidR="00180D66" w:rsidRPr="00367C4A" w:rsidRDefault="00180D66" w:rsidP="00180D66">
      <w:pPr>
        <w:jc w:val="both"/>
      </w:pPr>
    </w:p>
    <w:p w:rsidR="00180D66" w:rsidRPr="00367C4A" w:rsidRDefault="00180D66" w:rsidP="00180D66">
      <w:pPr>
        <w:jc w:val="both"/>
      </w:pPr>
      <w:r w:rsidRPr="00367C4A">
        <w:t>PROCEDIMIENTO GENERAL DE EJECUCIÓN DE GASTOS</w:t>
      </w:r>
    </w:p>
    <w:p w:rsidR="00180D66" w:rsidRPr="002C7D97" w:rsidRDefault="00180D66" w:rsidP="00180D66">
      <w:pPr>
        <w:spacing w:after="120"/>
        <w:jc w:val="both"/>
        <w:rPr>
          <w:sz w:val="23"/>
          <w:szCs w:val="23"/>
        </w:rPr>
      </w:pPr>
      <w:r w:rsidRPr="002C7D97">
        <w:rPr>
          <w:sz w:val="23"/>
          <w:szCs w:val="23"/>
        </w:rPr>
        <w:t xml:space="preserve">La normativa básica en materia de ejecución del gasto del Estado está constituida por la LGP y por la </w:t>
      </w:r>
      <w:r w:rsidRPr="002C7D97">
        <w:rPr>
          <w:i/>
          <w:sz w:val="23"/>
          <w:szCs w:val="23"/>
        </w:rPr>
        <w:t>Instrucción de operatoria contable a seguir en la Ejecución del Gasto del Estado</w:t>
      </w:r>
      <w:r w:rsidRPr="002C7D97">
        <w:rPr>
          <w:sz w:val="23"/>
          <w:szCs w:val="23"/>
        </w:rPr>
        <w:t>, aprobada por Orden Ministerial de 1 de febrero del 1996.</w:t>
      </w:r>
    </w:p>
    <w:p w:rsidR="00180D66" w:rsidRPr="002C7D97" w:rsidRDefault="00180D66" w:rsidP="00180D66">
      <w:pPr>
        <w:spacing w:after="120"/>
        <w:jc w:val="both"/>
        <w:rPr>
          <w:sz w:val="23"/>
          <w:szCs w:val="23"/>
        </w:rPr>
      </w:pPr>
      <w:r w:rsidRPr="002C7D97">
        <w:rPr>
          <w:sz w:val="23"/>
          <w:szCs w:val="23"/>
        </w:rPr>
        <w:t xml:space="preserve">El procedimiento general de ejecución de gastos se desarrolla en las siguientes fases: </w:t>
      </w:r>
    </w:p>
    <w:p w:rsidR="00180D66" w:rsidRPr="002C7D97" w:rsidRDefault="00180D66" w:rsidP="00180D66">
      <w:pPr>
        <w:spacing w:after="120"/>
        <w:jc w:val="both"/>
        <w:rPr>
          <w:sz w:val="23"/>
          <w:szCs w:val="23"/>
        </w:rPr>
      </w:pPr>
      <w:r w:rsidRPr="002C7D97">
        <w:rPr>
          <w:sz w:val="23"/>
          <w:szCs w:val="23"/>
        </w:rPr>
        <w:t xml:space="preserve">Autorización o aprobación del gasto: Según la definición de la Orden, la autorización es el acto administrativo por el que la autoridad competente para gestionar un gasto con cargo a un crédito presupuestario aprueba su realización, determinando su cuantía de forma cierta o de la forma más aproximada posible cuando no pueda calcularse exactamente, reservando a tal fin la totalidad o parte de un crédito presupuestario. </w:t>
      </w:r>
    </w:p>
    <w:p w:rsidR="00180D66" w:rsidRPr="002C7D97" w:rsidRDefault="00180D66" w:rsidP="00180D66">
      <w:pPr>
        <w:spacing w:after="120"/>
        <w:jc w:val="both"/>
        <w:rPr>
          <w:sz w:val="23"/>
          <w:szCs w:val="23"/>
        </w:rPr>
      </w:pPr>
      <w:r w:rsidRPr="002C7D97">
        <w:rPr>
          <w:sz w:val="23"/>
          <w:szCs w:val="23"/>
        </w:rPr>
        <w:t>Según el artículo 73 de la LGP: la aprobación es el acto mediante el cual se autoriza la realización de un gasto determinado por una cuantía cierta o aproximada, reservando a tal fin la totalidad o parte del crédito presupuestario.</w:t>
      </w:r>
    </w:p>
    <w:p w:rsidR="00F81CA3" w:rsidRPr="002C7D97" w:rsidRDefault="00180D66" w:rsidP="00180D66">
      <w:pPr>
        <w:spacing w:after="120"/>
        <w:jc w:val="both"/>
        <w:rPr>
          <w:sz w:val="23"/>
          <w:szCs w:val="23"/>
        </w:rPr>
      </w:pPr>
      <w:r w:rsidRPr="002C7D97">
        <w:rPr>
          <w:sz w:val="23"/>
          <w:szCs w:val="23"/>
        </w:rPr>
        <w:lastRenderedPageBreak/>
        <w:t xml:space="preserve">Aprobado el expediente de gasto, se formulará un documento contable «A» por la parte correspondiente al presupuesto del ejercicio corriente, que servirá como soporte y justificante de la operación. </w:t>
      </w:r>
    </w:p>
    <w:p w:rsidR="00F81CA3" w:rsidRPr="002C7D97" w:rsidRDefault="00F81CA3" w:rsidP="00180D66">
      <w:pPr>
        <w:spacing w:after="120"/>
        <w:jc w:val="both"/>
        <w:rPr>
          <w:sz w:val="23"/>
          <w:szCs w:val="23"/>
        </w:rPr>
      </w:pPr>
      <w:r w:rsidRPr="002C7D97">
        <w:rPr>
          <w:sz w:val="23"/>
          <w:szCs w:val="23"/>
        </w:rPr>
        <w:t>Cuando al inicio del expediente se hubiese efectuado la retención previa del crédito, tal retención se reflejó en el documento contable “RC” al  que se deberá hacer referencia en el documento A de autorización posterior.</w:t>
      </w:r>
    </w:p>
    <w:p w:rsidR="00180D66" w:rsidRPr="002C7D97" w:rsidRDefault="00180D66" w:rsidP="00180D66">
      <w:pPr>
        <w:spacing w:after="120"/>
        <w:jc w:val="both"/>
        <w:rPr>
          <w:sz w:val="23"/>
          <w:szCs w:val="23"/>
        </w:rPr>
      </w:pPr>
      <w:r w:rsidRPr="002C7D97">
        <w:rPr>
          <w:sz w:val="23"/>
          <w:szCs w:val="23"/>
        </w:rPr>
        <w:t>Se denomina saldo de crédito presupuesto a la diferencia entre el crédito presupuestario y las autorizaciones.</w:t>
      </w:r>
    </w:p>
    <w:p w:rsidR="00180D66" w:rsidRPr="002C7D97" w:rsidRDefault="00180D66" w:rsidP="00180D66">
      <w:pPr>
        <w:spacing w:after="120"/>
        <w:jc w:val="both"/>
        <w:rPr>
          <w:sz w:val="23"/>
          <w:szCs w:val="23"/>
        </w:rPr>
      </w:pPr>
      <w:r w:rsidRPr="002C7D97">
        <w:rPr>
          <w:sz w:val="23"/>
          <w:szCs w:val="23"/>
        </w:rPr>
        <w:t xml:space="preserve">Compromiso del gasto: </w:t>
      </w:r>
    </w:p>
    <w:p w:rsidR="00180D66" w:rsidRPr="00367C4A" w:rsidRDefault="00180D66" w:rsidP="00180D66">
      <w:pPr>
        <w:spacing w:after="120"/>
        <w:jc w:val="both"/>
        <w:rPr>
          <w:sz w:val="23"/>
          <w:szCs w:val="23"/>
        </w:rPr>
      </w:pPr>
      <w:r w:rsidRPr="00367C4A">
        <w:rPr>
          <w:sz w:val="23"/>
          <w:szCs w:val="23"/>
        </w:rPr>
        <w:t>Según el art. 73 de la LGP: el compromiso es el acto mediante el cual se acuerda, tras el cumplimiento de los trámites legalmente establecidos, la realización de los gastos previamente aprobados, por un importe determinado o determinable.</w:t>
      </w:r>
    </w:p>
    <w:p w:rsidR="00BE62F4" w:rsidRDefault="00180D66" w:rsidP="00180D66">
      <w:pPr>
        <w:spacing w:after="120"/>
        <w:jc w:val="both"/>
        <w:rPr>
          <w:sz w:val="23"/>
          <w:szCs w:val="23"/>
        </w:rPr>
      </w:pPr>
      <w:r w:rsidRPr="00367C4A">
        <w:rPr>
          <w:sz w:val="23"/>
          <w:szCs w:val="23"/>
        </w:rPr>
        <w:t>En este momento el gasto deja de ser algo puramente interno para convertirse en un compromiso con un tercero</w:t>
      </w:r>
      <w:r w:rsidR="00BE62F4">
        <w:rPr>
          <w:sz w:val="23"/>
          <w:szCs w:val="23"/>
        </w:rPr>
        <w:t xml:space="preserve"> adjudicatario que deberá realizar una prestación</w:t>
      </w:r>
      <w:r w:rsidRPr="00367C4A">
        <w:rPr>
          <w:sz w:val="23"/>
          <w:szCs w:val="23"/>
        </w:rPr>
        <w:t>.</w:t>
      </w:r>
    </w:p>
    <w:p w:rsidR="00F81CA3" w:rsidRPr="002C7D97" w:rsidRDefault="00BE62F4" w:rsidP="00180D66">
      <w:pPr>
        <w:spacing w:after="120"/>
        <w:jc w:val="both"/>
        <w:rPr>
          <w:sz w:val="23"/>
          <w:szCs w:val="23"/>
        </w:rPr>
      </w:pPr>
      <w:r w:rsidRPr="002C7D97">
        <w:rPr>
          <w:sz w:val="23"/>
          <w:szCs w:val="23"/>
        </w:rPr>
        <w:t>L</w:t>
      </w:r>
      <w:r w:rsidR="00180D66" w:rsidRPr="002C7D97">
        <w:rPr>
          <w:sz w:val="23"/>
          <w:szCs w:val="23"/>
        </w:rPr>
        <w:t xml:space="preserve">a disposición o compromiso del gasto se materializa en un documento contable «D» </w:t>
      </w:r>
    </w:p>
    <w:p w:rsidR="00180D66" w:rsidRPr="002C7D97" w:rsidRDefault="00180D66" w:rsidP="00180D66">
      <w:pPr>
        <w:spacing w:after="120"/>
        <w:jc w:val="both"/>
        <w:rPr>
          <w:sz w:val="23"/>
          <w:szCs w:val="23"/>
        </w:rPr>
      </w:pPr>
      <w:r w:rsidRPr="002C7D97">
        <w:rPr>
          <w:sz w:val="23"/>
          <w:szCs w:val="23"/>
        </w:rPr>
        <w:t xml:space="preserve">Se denomina saldo de autorizaciones a la diferencia entre los gastos autorizados y los comprometidos.  </w:t>
      </w:r>
    </w:p>
    <w:p w:rsidR="00F81CA3" w:rsidRPr="002C7D97" w:rsidRDefault="00180D66" w:rsidP="00180D66">
      <w:pPr>
        <w:spacing w:after="120"/>
        <w:jc w:val="both"/>
        <w:rPr>
          <w:sz w:val="23"/>
          <w:szCs w:val="23"/>
        </w:rPr>
      </w:pPr>
      <w:r w:rsidRPr="002C7D97">
        <w:rPr>
          <w:sz w:val="23"/>
          <w:szCs w:val="23"/>
        </w:rPr>
        <w:t xml:space="preserve">Reconocimiento de la obligación y propuesta de pago: </w:t>
      </w:r>
    </w:p>
    <w:p w:rsidR="00180D66" w:rsidRPr="002C7D97" w:rsidRDefault="00180D66" w:rsidP="00180D66">
      <w:pPr>
        <w:spacing w:after="120"/>
        <w:jc w:val="both"/>
        <w:rPr>
          <w:sz w:val="23"/>
          <w:szCs w:val="23"/>
        </w:rPr>
      </w:pPr>
      <w:r w:rsidRPr="002C7D97">
        <w:rPr>
          <w:sz w:val="23"/>
          <w:szCs w:val="23"/>
        </w:rPr>
        <w:t xml:space="preserve">Según el art. 73 de la LGP: el reconocimiento de la obligación es el acto mediante el que se declara la existencia de un crédito exigible contra la H.P. estatal o contra la Seguridad Social, derivado de un gasto aprobado y comprometido, y que comporta la correspondiente propuesta de pago. </w:t>
      </w:r>
    </w:p>
    <w:p w:rsidR="00180D66" w:rsidRPr="00367C4A" w:rsidRDefault="00180D66" w:rsidP="00180D66">
      <w:pPr>
        <w:spacing w:after="120"/>
        <w:jc w:val="both"/>
        <w:rPr>
          <w:sz w:val="23"/>
          <w:szCs w:val="23"/>
        </w:rPr>
      </w:pPr>
      <w:r w:rsidRPr="002C7D97">
        <w:rPr>
          <w:sz w:val="23"/>
          <w:szCs w:val="23"/>
        </w:rPr>
        <w:t>Acordado el reconocimiento de la obligación, el Servicio Gestor expedirá un documento «OK» que será remitido a la oficina de contabilidad junto</w:t>
      </w:r>
      <w:r w:rsidRPr="00367C4A">
        <w:rPr>
          <w:sz w:val="23"/>
          <w:szCs w:val="23"/>
        </w:rPr>
        <w:t xml:space="preserve"> con la documentación que deba servir de justificante de la obligación. </w:t>
      </w:r>
    </w:p>
    <w:p w:rsidR="00180D66" w:rsidRPr="00367C4A" w:rsidRDefault="00180D66" w:rsidP="00180D66">
      <w:pPr>
        <w:spacing w:after="120"/>
        <w:jc w:val="both"/>
        <w:rPr>
          <w:sz w:val="23"/>
          <w:szCs w:val="23"/>
        </w:rPr>
      </w:pPr>
      <w:proofErr w:type="gramStart"/>
      <w:r w:rsidRPr="00367C4A">
        <w:rPr>
          <w:sz w:val="23"/>
          <w:szCs w:val="23"/>
        </w:rPr>
        <w:t>l</w:t>
      </w:r>
      <w:proofErr w:type="gramEnd"/>
      <w:r w:rsidRPr="00367C4A">
        <w:rPr>
          <w:sz w:val="23"/>
          <w:szCs w:val="23"/>
        </w:rPr>
        <w:t xml:space="preserve"> documento K no es aplicable a los OOAA, ya que sus presidentes o directores tienen competencias para el pago de las obligaciones económicas de sus ámbitos.</w:t>
      </w:r>
    </w:p>
    <w:p w:rsidR="00180D66" w:rsidRPr="002C7D97" w:rsidRDefault="00180D66" w:rsidP="00180D66">
      <w:pPr>
        <w:spacing w:after="120"/>
        <w:jc w:val="both"/>
        <w:rPr>
          <w:sz w:val="23"/>
          <w:szCs w:val="23"/>
        </w:rPr>
      </w:pPr>
      <w:r w:rsidRPr="002C7D97">
        <w:rPr>
          <w:sz w:val="23"/>
          <w:szCs w:val="23"/>
        </w:rPr>
        <w:t xml:space="preserve">Se denomina saldo de disposiciones a la diferencia entre las disposiciones y las obligaciones reconocidas. </w:t>
      </w:r>
    </w:p>
    <w:p w:rsidR="00180D66" w:rsidRPr="002C7D97" w:rsidRDefault="00180D66" w:rsidP="00180D66">
      <w:pPr>
        <w:spacing w:after="120"/>
        <w:jc w:val="both"/>
        <w:rPr>
          <w:sz w:val="23"/>
          <w:szCs w:val="23"/>
        </w:rPr>
      </w:pPr>
      <w:r w:rsidRPr="002C7D97">
        <w:rPr>
          <w:sz w:val="23"/>
          <w:szCs w:val="23"/>
        </w:rPr>
        <w:t>Se denomina saldo de obligaciones reconocidas pendientes de pago, a la diferencia entre las obligaciones reconocidas y los pagos realizados.</w:t>
      </w:r>
    </w:p>
    <w:p w:rsidR="00180D66" w:rsidRPr="002C7D97" w:rsidRDefault="00180D66" w:rsidP="00180D66">
      <w:pPr>
        <w:spacing w:after="120"/>
        <w:jc w:val="both"/>
        <w:rPr>
          <w:sz w:val="23"/>
          <w:szCs w:val="23"/>
        </w:rPr>
      </w:pPr>
      <w:r w:rsidRPr="002C7D97">
        <w:rPr>
          <w:sz w:val="23"/>
          <w:szCs w:val="23"/>
        </w:rPr>
        <w:t xml:space="preserve">La acumulación en un único acto administrativo de dos o más fases de ejecución de gastos presupuestarios produce los mismos efectos que si dichas fases se acordasen en actos administrativos separados. </w:t>
      </w:r>
    </w:p>
    <w:p w:rsidR="00180D66" w:rsidRPr="002C7D97" w:rsidRDefault="00180D66" w:rsidP="00180D66">
      <w:pPr>
        <w:spacing w:after="120"/>
        <w:jc w:val="both"/>
        <w:rPr>
          <w:sz w:val="23"/>
          <w:szCs w:val="23"/>
        </w:rPr>
      </w:pPr>
      <w:r w:rsidRPr="002C7D97">
        <w:rPr>
          <w:sz w:val="23"/>
          <w:szCs w:val="23"/>
        </w:rPr>
        <w:t>Cuando la autorización y compromiso del gasto se acuerden en un acto único, se expedirá un documento contable mixto «AD»,</w:t>
      </w:r>
      <w:r w:rsidRPr="00367C4A">
        <w:rPr>
          <w:sz w:val="23"/>
          <w:szCs w:val="23"/>
        </w:rPr>
        <w:t xml:space="preserve"> y cuando se acumulen la autorización del gasto, su </w:t>
      </w:r>
      <w:r w:rsidRPr="002C7D97">
        <w:rPr>
          <w:sz w:val="23"/>
          <w:szCs w:val="23"/>
        </w:rPr>
        <w:lastRenderedPageBreak/>
        <w:t>compromiso y el reconocimiento de la</w:t>
      </w:r>
      <w:r w:rsidR="004E07AA" w:rsidRPr="002C7D97">
        <w:rPr>
          <w:sz w:val="23"/>
          <w:szCs w:val="23"/>
        </w:rPr>
        <w:t xml:space="preserve"> obligación, se expedirá un documento</w:t>
      </w:r>
      <w:r w:rsidRPr="002C7D97">
        <w:rPr>
          <w:sz w:val="23"/>
          <w:szCs w:val="23"/>
        </w:rPr>
        <w:t xml:space="preserve"> mixto «ADOK».</w:t>
      </w:r>
    </w:p>
    <w:p w:rsidR="004E07AA" w:rsidRPr="002C7D97" w:rsidRDefault="004E07AA" w:rsidP="00180D66">
      <w:pPr>
        <w:spacing w:after="120"/>
        <w:jc w:val="both"/>
        <w:rPr>
          <w:sz w:val="23"/>
          <w:szCs w:val="23"/>
        </w:rPr>
      </w:pPr>
      <w:r w:rsidRPr="002C7D97">
        <w:rPr>
          <w:sz w:val="23"/>
          <w:szCs w:val="23"/>
        </w:rPr>
        <w:t>Cuando la operación que se ha registrado mediante un documento contable deba cancelarse, cualquiera que sea el motivo, su anulación total o parcial se llevará a cabo mediante un documento inverso o negativo: A/,</w:t>
      </w:r>
      <w:r w:rsidR="003B6CA8" w:rsidRPr="002C7D97">
        <w:rPr>
          <w:sz w:val="23"/>
          <w:szCs w:val="23"/>
        </w:rPr>
        <w:t xml:space="preserve"> D/</w:t>
      </w:r>
      <w:r w:rsidRPr="002C7D97">
        <w:rPr>
          <w:sz w:val="23"/>
          <w:szCs w:val="23"/>
        </w:rPr>
        <w:t>,</w:t>
      </w:r>
      <w:r w:rsidR="003B6CA8" w:rsidRPr="002C7D97">
        <w:rPr>
          <w:sz w:val="23"/>
          <w:szCs w:val="23"/>
        </w:rPr>
        <w:t xml:space="preserve"> </w:t>
      </w:r>
      <w:r w:rsidRPr="002C7D97">
        <w:rPr>
          <w:sz w:val="23"/>
          <w:szCs w:val="23"/>
        </w:rPr>
        <w:t>O/, K/</w:t>
      </w:r>
    </w:p>
    <w:p w:rsidR="00180D66" w:rsidRPr="002C7D97" w:rsidRDefault="00180D66" w:rsidP="00180D66">
      <w:pPr>
        <w:spacing w:after="120"/>
        <w:jc w:val="both"/>
        <w:rPr>
          <w:sz w:val="23"/>
          <w:szCs w:val="23"/>
        </w:rPr>
      </w:pPr>
      <w:r w:rsidRPr="002C7D97">
        <w:rPr>
          <w:sz w:val="23"/>
          <w:szCs w:val="23"/>
        </w:rPr>
        <w:t>Las COMPETENCIAS EN MATERIA DE GESTIÓN DE GASTOS: vienen establecidas en el A</w:t>
      </w:r>
      <w:r w:rsidR="003B6CA8" w:rsidRPr="002C7D97">
        <w:rPr>
          <w:sz w:val="23"/>
          <w:szCs w:val="23"/>
        </w:rPr>
        <w:t>rt</w:t>
      </w:r>
      <w:r w:rsidRPr="002C7D97">
        <w:rPr>
          <w:sz w:val="23"/>
          <w:szCs w:val="23"/>
        </w:rPr>
        <w:t>.74 de la LGP:</w:t>
      </w:r>
    </w:p>
    <w:p w:rsidR="00180D66" w:rsidRPr="002C7D97" w:rsidRDefault="00180D66" w:rsidP="007A7DF8">
      <w:pPr>
        <w:numPr>
          <w:ilvl w:val="0"/>
          <w:numId w:val="18"/>
        </w:numPr>
        <w:tabs>
          <w:tab w:val="clear" w:pos="720"/>
        </w:tabs>
        <w:spacing w:after="120" w:line="240" w:lineRule="auto"/>
        <w:ind w:left="360"/>
        <w:jc w:val="both"/>
        <w:rPr>
          <w:sz w:val="23"/>
          <w:szCs w:val="23"/>
        </w:rPr>
      </w:pPr>
      <w:r w:rsidRPr="002C7D97">
        <w:rPr>
          <w:sz w:val="23"/>
          <w:szCs w:val="23"/>
        </w:rPr>
        <w:t>Corresponde a los ministros y a los titulares de los demás órganos del Estado con dotaciones diferenciadas en los Presupuestos Generales del Estado aprobar y comprometer los gastos propios de los servicios a su cargo, salvo los casos reservados por la ley a la competencia del Gobierno, así como reconocer las obligaciones correspondientes, e interesar del Ordenador general de pagos del Estado la realización de los correspondientes pagos.</w:t>
      </w:r>
    </w:p>
    <w:p w:rsidR="00180D66" w:rsidRPr="002C7D97" w:rsidRDefault="00180D66" w:rsidP="00180D66">
      <w:pPr>
        <w:spacing w:after="120"/>
        <w:ind w:left="360"/>
        <w:jc w:val="both"/>
        <w:rPr>
          <w:sz w:val="23"/>
          <w:szCs w:val="23"/>
        </w:rPr>
      </w:pPr>
      <w:r w:rsidRPr="002C7D97">
        <w:rPr>
          <w:sz w:val="23"/>
          <w:szCs w:val="23"/>
        </w:rPr>
        <w:t>Asimismo, corresponderá a los ministros fijar los límites por debajo de los cuales las citadas competencias corresponderán en su ámbito a los secretarios de estado y subsecretarios del departamento.</w:t>
      </w:r>
    </w:p>
    <w:p w:rsidR="00180D66" w:rsidRPr="00367C4A" w:rsidRDefault="00180D66" w:rsidP="007A7DF8">
      <w:pPr>
        <w:numPr>
          <w:ilvl w:val="0"/>
          <w:numId w:val="18"/>
        </w:numPr>
        <w:tabs>
          <w:tab w:val="clear" w:pos="720"/>
        </w:tabs>
        <w:spacing w:after="120" w:line="240" w:lineRule="auto"/>
        <w:ind w:left="360"/>
        <w:jc w:val="both"/>
        <w:rPr>
          <w:sz w:val="23"/>
          <w:szCs w:val="23"/>
        </w:rPr>
      </w:pPr>
      <w:r w:rsidRPr="002C7D97">
        <w:rPr>
          <w:sz w:val="23"/>
          <w:szCs w:val="23"/>
        </w:rPr>
        <w:t>Con la misma salvedad legal, compete a los presidentes o directores de los organismos autónomos del Estado la aprobación y compromiso del gasto, así como el reconocimiento y el pago</w:t>
      </w:r>
      <w:r w:rsidRPr="00367C4A">
        <w:rPr>
          <w:sz w:val="23"/>
          <w:szCs w:val="23"/>
        </w:rPr>
        <w:t xml:space="preserve"> de las obligaciones.</w:t>
      </w:r>
    </w:p>
    <w:p w:rsidR="00180D66" w:rsidRPr="002C7D97" w:rsidRDefault="00180D66" w:rsidP="007A7DF8">
      <w:pPr>
        <w:numPr>
          <w:ilvl w:val="0"/>
          <w:numId w:val="18"/>
        </w:numPr>
        <w:tabs>
          <w:tab w:val="clear" w:pos="720"/>
        </w:tabs>
        <w:spacing w:after="120" w:line="240" w:lineRule="auto"/>
        <w:ind w:left="360"/>
        <w:jc w:val="both"/>
        <w:rPr>
          <w:sz w:val="23"/>
          <w:szCs w:val="23"/>
        </w:rPr>
      </w:pPr>
      <w:r w:rsidRPr="002C7D97">
        <w:rPr>
          <w:sz w:val="23"/>
          <w:szCs w:val="23"/>
        </w:rPr>
        <w:t>Compete a los directores de las entidades gestoras y servicios comunes de la Seguridad Social, la aprobación y el compromiso del gasto y el reconocimiento de la obligación, e interesar del Ordenador general de Pagos de la Seguridad Social la realización de los correspondientes pagos.</w:t>
      </w:r>
    </w:p>
    <w:p w:rsidR="00180D66" w:rsidRPr="002C7D97" w:rsidRDefault="00180D66" w:rsidP="007A7DF8">
      <w:pPr>
        <w:numPr>
          <w:ilvl w:val="0"/>
          <w:numId w:val="18"/>
        </w:numPr>
        <w:tabs>
          <w:tab w:val="clear" w:pos="720"/>
        </w:tabs>
        <w:spacing w:after="120" w:line="240" w:lineRule="auto"/>
        <w:ind w:left="360"/>
        <w:jc w:val="both"/>
        <w:rPr>
          <w:sz w:val="23"/>
          <w:szCs w:val="23"/>
        </w:rPr>
      </w:pPr>
      <w:r w:rsidRPr="002C7D97">
        <w:rPr>
          <w:sz w:val="23"/>
          <w:szCs w:val="23"/>
        </w:rPr>
        <w:t>Las facultades a que se refieren los anteriores números podrán desconcentrarse mediante real decreto acordado en Consejo de Ministros, o ser objeto de delegación en los términos establecidos reglamentariamente.</w:t>
      </w:r>
    </w:p>
    <w:p w:rsidR="00180D66" w:rsidRPr="002C7D97" w:rsidRDefault="00180D66" w:rsidP="007A7DF8">
      <w:pPr>
        <w:numPr>
          <w:ilvl w:val="0"/>
          <w:numId w:val="18"/>
        </w:numPr>
        <w:tabs>
          <w:tab w:val="clear" w:pos="720"/>
        </w:tabs>
        <w:spacing w:after="120" w:line="240" w:lineRule="auto"/>
        <w:ind w:left="360"/>
        <w:jc w:val="both"/>
        <w:rPr>
          <w:sz w:val="23"/>
          <w:szCs w:val="23"/>
        </w:rPr>
      </w:pPr>
      <w:r w:rsidRPr="002C7D97">
        <w:rPr>
          <w:sz w:val="23"/>
          <w:szCs w:val="23"/>
        </w:rPr>
        <w:t>Los órganos de los departamentos ministeriales, de sus OOAA y de las entidades gestoras y servicios comunes de la Seguridad Social, competentes para la suscripción de convenios de colaboración o contratos-programa con otras Administraciones públicas o con entidades públicas o privadas, así como para acordar encomiendas de gestión, necesitarán autorización del Consejo de Ministros cuando el importe del gasto que de aquellos o de estas se derive sea superior a 12 millones de euros.</w:t>
      </w:r>
    </w:p>
    <w:p w:rsidR="00180D66" w:rsidRPr="002C7D97" w:rsidRDefault="00180D66" w:rsidP="00180D66">
      <w:pPr>
        <w:jc w:val="both"/>
        <w:rPr>
          <w:sz w:val="23"/>
          <w:szCs w:val="23"/>
        </w:rPr>
      </w:pPr>
      <w:r w:rsidRPr="002C7D97">
        <w:rPr>
          <w:sz w:val="23"/>
          <w:szCs w:val="23"/>
        </w:rPr>
        <w:t xml:space="preserve">En cuanto a las competencias en materia de gestión de gastos se dan especialidades en los procedimientos de contratación y de concesión de subvenciones. </w:t>
      </w:r>
    </w:p>
    <w:p w:rsidR="00180D66" w:rsidRPr="002C7D97" w:rsidRDefault="00180D66" w:rsidP="00180D66">
      <w:pPr>
        <w:jc w:val="both"/>
        <w:rPr>
          <w:sz w:val="23"/>
          <w:szCs w:val="23"/>
        </w:rPr>
      </w:pPr>
      <w:r w:rsidRPr="002C7D97">
        <w:rPr>
          <w:sz w:val="23"/>
          <w:szCs w:val="23"/>
        </w:rPr>
        <w:t xml:space="preserve">El A. 10 de la Ley General de Subvenciones establece que </w:t>
      </w:r>
      <w:r w:rsidRPr="002C7D97">
        <w:rPr>
          <w:i/>
          <w:sz w:val="23"/>
          <w:szCs w:val="23"/>
        </w:rPr>
        <w:t>los ministros y los secretarios de Estado en la Administración General del Estado y los presidentes o directores de los organismos públicos y demás entidades que tengan que ajustar su actividad al derecho público</w:t>
      </w:r>
      <w:r w:rsidRPr="002C7D97">
        <w:rPr>
          <w:sz w:val="23"/>
          <w:szCs w:val="23"/>
        </w:rPr>
        <w:t xml:space="preserve"> son los órganos competentes para conceder subvenciones, en sus respectivos ámbitos, previa consignación presupuestaria para este fin.</w:t>
      </w:r>
    </w:p>
    <w:p w:rsidR="00180D66" w:rsidRPr="002C7D97" w:rsidRDefault="00180D66" w:rsidP="00180D66">
      <w:pPr>
        <w:spacing w:after="120"/>
        <w:jc w:val="both"/>
        <w:rPr>
          <w:sz w:val="23"/>
          <w:szCs w:val="23"/>
        </w:rPr>
      </w:pPr>
      <w:r w:rsidRPr="002C7D97">
        <w:rPr>
          <w:sz w:val="23"/>
          <w:szCs w:val="23"/>
        </w:rPr>
        <w:t xml:space="preserve">No obstante, para autorizar la concesión de subvenciones de cuantía superior a 12.000.000€ será necesario acuerdo del CM o, en el caso de que así lo establezca la </w:t>
      </w:r>
      <w:r w:rsidRPr="002C7D97">
        <w:rPr>
          <w:sz w:val="23"/>
          <w:szCs w:val="23"/>
        </w:rPr>
        <w:lastRenderedPageBreak/>
        <w:t>normativa reguladora de la subvención, de la Comisión Delegada del Gobierno para Asuntos Económicos.</w:t>
      </w:r>
    </w:p>
    <w:p w:rsidR="00180D66" w:rsidRPr="002C7D97" w:rsidRDefault="00180D66" w:rsidP="00180D66">
      <w:pPr>
        <w:spacing w:after="120"/>
        <w:jc w:val="both"/>
        <w:rPr>
          <w:sz w:val="23"/>
          <w:szCs w:val="23"/>
        </w:rPr>
      </w:pPr>
      <w:r w:rsidRPr="002C7D97">
        <w:rPr>
          <w:sz w:val="23"/>
          <w:szCs w:val="23"/>
        </w:rPr>
        <w:t>Las facultades para conceder subvenciones a que se refiere este artículo podrán ser objeto de desconcentración mediante RD acordado en CM.</w:t>
      </w:r>
    </w:p>
    <w:p w:rsidR="00180D66" w:rsidRPr="002C7D97" w:rsidRDefault="00180D66" w:rsidP="00180D66">
      <w:pPr>
        <w:spacing w:after="40"/>
        <w:jc w:val="both"/>
        <w:rPr>
          <w:sz w:val="23"/>
          <w:szCs w:val="23"/>
        </w:rPr>
      </w:pPr>
      <w:r w:rsidRPr="002C7D97">
        <w:rPr>
          <w:sz w:val="23"/>
          <w:szCs w:val="23"/>
        </w:rPr>
        <w:t>El A. 324 de la LCSP establece que los órganos de contratación de las entidades del sector público estatal que tengan la consideración de poder adjudicador, necesitarán la autorización del CM para celebrar contratos en los siguientes supuestos:</w:t>
      </w:r>
    </w:p>
    <w:p w:rsidR="00180D66" w:rsidRPr="002C7D97" w:rsidRDefault="00180D66" w:rsidP="007A7DF8">
      <w:pPr>
        <w:numPr>
          <w:ilvl w:val="0"/>
          <w:numId w:val="20"/>
        </w:numPr>
        <w:tabs>
          <w:tab w:val="clear" w:pos="720"/>
        </w:tabs>
        <w:spacing w:after="40" w:line="240" w:lineRule="auto"/>
        <w:ind w:left="540"/>
        <w:jc w:val="both"/>
        <w:rPr>
          <w:sz w:val="23"/>
          <w:szCs w:val="23"/>
        </w:rPr>
      </w:pPr>
      <w:r w:rsidRPr="002C7D97">
        <w:rPr>
          <w:sz w:val="23"/>
          <w:szCs w:val="23"/>
        </w:rPr>
        <w:t>Cuando el valor estimado del contrato sea superior o igual a 12.000.000€.</w:t>
      </w:r>
    </w:p>
    <w:p w:rsidR="00180D66" w:rsidRPr="002C7D97" w:rsidRDefault="00180D66" w:rsidP="007A7DF8">
      <w:pPr>
        <w:numPr>
          <w:ilvl w:val="0"/>
          <w:numId w:val="20"/>
        </w:numPr>
        <w:tabs>
          <w:tab w:val="clear" w:pos="720"/>
        </w:tabs>
        <w:spacing w:after="0" w:line="240" w:lineRule="auto"/>
        <w:ind w:left="540"/>
        <w:jc w:val="both"/>
        <w:rPr>
          <w:sz w:val="23"/>
          <w:szCs w:val="23"/>
        </w:rPr>
      </w:pPr>
      <w:r w:rsidRPr="002C7D97">
        <w:rPr>
          <w:sz w:val="23"/>
          <w:szCs w:val="23"/>
        </w:rPr>
        <w:t>Cuando el pago de los contratos se concierte mediante el sistema de arrendamiento financiero o mediante el sistema de arrendamiento con opción a compra y el número de anualidades supere los 4 años.</w:t>
      </w:r>
    </w:p>
    <w:p w:rsidR="00180D66" w:rsidRPr="002C7D97" w:rsidRDefault="00180D66" w:rsidP="00180D66">
      <w:pPr>
        <w:numPr>
          <w:ilvl w:val="0"/>
          <w:numId w:val="20"/>
        </w:numPr>
        <w:tabs>
          <w:tab w:val="clear" w:pos="720"/>
        </w:tabs>
        <w:spacing w:after="0" w:line="240" w:lineRule="auto"/>
        <w:ind w:left="540"/>
        <w:jc w:val="both"/>
        <w:rPr>
          <w:sz w:val="23"/>
          <w:szCs w:val="23"/>
        </w:rPr>
      </w:pPr>
      <w:r w:rsidRPr="002C7D97">
        <w:rPr>
          <w:sz w:val="23"/>
          <w:szCs w:val="23"/>
        </w:rPr>
        <w:t>En los acuerdos marco cuyo valor estimado sea igual o superior a 12.000.000 de euros. Una vez autorizada la celebración de estos acuerdos marco, no será necesaria la autorización del Consejo de Ministros para la celebración de los contratos basados en dicho acuerdo marco.</w:t>
      </w:r>
    </w:p>
    <w:p w:rsidR="003B6CA8" w:rsidRPr="002C7D97" w:rsidRDefault="003B6CA8" w:rsidP="003B6CA8">
      <w:pPr>
        <w:spacing w:after="0" w:line="240" w:lineRule="auto"/>
        <w:ind w:left="540"/>
        <w:jc w:val="both"/>
        <w:rPr>
          <w:sz w:val="23"/>
          <w:szCs w:val="23"/>
        </w:rPr>
      </w:pPr>
    </w:p>
    <w:p w:rsidR="00180D66" w:rsidRPr="002C7D97" w:rsidRDefault="00180D66" w:rsidP="00180D66">
      <w:pPr>
        <w:jc w:val="both"/>
        <w:rPr>
          <w:sz w:val="23"/>
          <w:szCs w:val="23"/>
        </w:rPr>
      </w:pPr>
      <w:r w:rsidRPr="002C7D97">
        <w:rPr>
          <w:sz w:val="23"/>
          <w:szCs w:val="23"/>
        </w:rPr>
        <w:t>La autorización del Consejo de Ministros deberá obtenerse antes de la aprobación del expediente.</w:t>
      </w:r>
    </w:p>
    <w:p w:rsidR="0048745E" w:rsidRPr="002C7D97" w:rsidRDefault="003B6CA8" w:rsidP="0048745E">
      <w:pPr>
        <w:jc w:val="both"/>
        <w:rPr>
          <w:sz w:val="23"/>
          <w:szCs w:val="23"/>
        </w:rPr>
      </w:pPr>
      <w:r w:rsidRPr="002C7D97">
        <w:rPr>
          <w:sz w:val="23"/>
          <w:szCs w:val="23"/>
        </w:rPr>
        <w:t>Finalmente, para las entidades adscritas a los ministerios que tengan poder adjudicador, se establece por la DT 2ª de la LCSP que mientras los secretarios de estado o ministros no fijen una cuantía a partir de la cual sea necesaria su autorización, los presidentes y directores de estas entidades serán competentes, sin necesidad de autorización, para la adjudicación de contratos no superiores a 900.000 euros (IVA excluido)</w:t>
      </w:r>
    </w:p>
    <w:p w:rsidR="00180D66" w:rsidRPr="002C7D97" w:rsidRDefault="00180D66" w:rsidP="000E6FD3">
      <w:pPr>
        <w:pStyle w:val="Prrafodelista"/>
        <w:numPr>
          <w:ilvl w:val="0"/>
          <w:numId w:val="18"/>
        </w:numPr>
        <w:jc w:val="both"/>
      </w:pPr>
      <w:r w:rsidRPr="002C7D97">
        <w:t>CONTROL DE LA GESTIÓN ECONÓMICO-FINANCIERA DEL SECTOR PÚBLICO ESTATAL</w:t>
      </w:r>
    </w:p>
    <w:p w:rsidR="0009516F" w:rsidRPr="002C7D97" w:rsidRDefault="0009516F"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El control es la verificación de la gestión económico-financiera del sector público, para poner de manifiesto que se adecúa a la legalidad vigente y que se han cumplido los objetivos previamente marcados atendiendo a criterios de economía, eficacia y eficiencia.</w:t>
      </w:r>
    </w:p>
    <w:p w:rsidR="006B4178" w:rsidRPr="002C7D97" w:rsidRDefault="006B4178"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1.2 CLASES DE CONTROL</w:t>
      </w:r>
    </w:p>
    <w:p w:rsidR="006B4178" w:rsidRPr="002C7D97" w:rsidRDefault="006B4178"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 xml:space="preserve">En función del órgano que realiza el control, podemos hablar </w:t>
      </w:r>
      <w:r w:rsidR="0009516F" w:rsidRPr="002C7D97">
        <w:rPr>
          <w:rFonts w:ascii="Calibri" w:eastAsia="Calibri" w:hAnsi="Calibri" w:cs="Times New Roman"/>
          <w:sz w:val="23"/>
          <w:szCs w:val="23"/>
        </w:rPr>
        <w:t xml:space="preserve">de un  </w:t>
      </w:r>
      <w:r w:rsidRPr="002C7D97">
        <w:rPr>
          <w:rFonts w:ascii="Calibri" w:eastAsia="Calibri" w:hAnsi="Calibri" w:cs="Times New Roman"/>
          <w:sz w:val="23"/>
          <w:szCs w:val="23"/>
        </w:rPr>
        <w:t>control externo</w:t>
      </w:r>
      <w:r w:rsidR="0009516F" w:rsidRPr="002C7D97">
        <w:rPr>
          <w:rFonts w:ascii="Calibri" w:eastAsia="Calibri" w:hAnsi="Calibri" w:cs="Times New Roman"/>
          <w:sz w:val="23"/>
          <w:szCs w:val="23"/>
        </w:rPr>
        <w:t xml:space="preserve"> (</w:t>
      </w:r>
      <w:r w:rsidRPr="002C7D97">
        <w:rPr>
          <w:rFonts w:ascii="Calibri" w:eastAsia="Calibri" w:hAnsi="Calibri" w:cs="Times New Roman"/>
          <w:sz w:val="23"/>
          <w:szCs w:val="23"/>
        </w:rPr>
        <w:t>Tribunal de Cuentas</w:t>
      </w:r>
      <w:r w:rsidR="0009516F" w:rsidRPr="002C7D97">
        <w:rPr>
          <w:rFonts w:ascii="Calibri" w:eastAsia="Calibri" w:hAnsi="Calibri" w:cs="Times New Roman"/>
          <w:sz w:val="23"/>
          <w:szCs w:val="23"/>
        </w:rPr>
        <w:t xml:space="preserve"> y Cortes Generales</w:t>
      </w:r>
      <w:r w:rsidRPr="002C7D97">
        <w:rPr>
          <w:rFonts w:ascii="Calibri" w:eastAsia="Calibri" w:hAnsi="Calibri" w:cs="Times New Roman"/>
          <w:sz w:val="23"/>
          <w:szCs w:val="23"/>
        </w:rPr>
        <w:t>) y un control interno o Administrativo (ejerci</w:t>
      </w:r>
      <w:r w:rsidR="0009516F" w:rsidRPr="002C7D97">
        <w:rPr>
          <w:rFonts w:ascii="Calibri" w:eastAsia="Calibri" w:hAnsi="Calibri" w:cs="Times New Roman"/>
          <w:sz w:val="23"/>
          <w:szCs w:val="23"/>
        </w:rPr>
        <w:t xml:space="preserve">do fundamentalmente por </w:t>
      </w:r>
      <w:r w:rsidRPr="002C7D97">
        <w:rPr>
          <w:rFonts w:ascii="Calibri" w:eastAsia="Calibri" w:hAnsi="Calibri" w:cs="Times New Roman"/>
          <w:sz w:val="23"/>
          <w:szCs w:val="23"/>
        </w:rPr>
        <w:t xml:space="preserve">la IGAE).  </w:t>
      </w:r>
    </w:p>
    <w:p w:rsidR="0085237C" w:rsidRPr="002C7D97" w:rsidRDefault="0085237C" w:rsidP="0060059C">
      <w:p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CONTROL EXTERNO</w:t>
      </w:r>
    </w:p>
    <w:p w:rsidR="0060059C" w:rsidRPr="002C7D97" w:rsidRDefault="0060059C" w:rsidP="0060059C">
      <w:p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CONTROL DEL TRIBUNAL DE CUENTAS</w:t>
      </w:r>
    </w:p>
    <w:p w:rsidR="0060059C" w:rsidRPr="002C7D97" w:rsidRDefault="0060059C" w:rsidP="0060059C">
      <w:p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El Tribunal de Cuentas es el supremo órgano fiscalizador de las cuentas y de la gestión económica del Estado y del sector público, sin perjuicio de su propia jurisdicción.</w:t>
      </w:r>
    </w:p>
    <w:p w:rsidR="0060059C" w:rsidRPr="002C7D97" w:rsidRDefault="0060059C" w:rsidP="0060059C">
      <w:p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Son funciones del Tribunal de Cuentas:</w:t>
      </w:r>
    </w:p>
    <w:p w:rsidR="0060059C" w:rsidRPr="002C7D97" w:rsidRDefault="0060059C" w:rsidP="0060059C">
      <w:pPr>
        <w:pStyle w:val="Prrafodelista"/>
        <w:numPr>
          <w:ilvl w:val="0"/>
          <w:numId w:val="27"/>
        </w:num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La Función de Fiscalización que consiste en el examen y comprobación de la Cuenta General del Estado, haciendo constar cuantas infracciones, abusos o prácticas irregulares haya observado.</w:t>
      </w:r>
    </w:p>
    <w:p w:rsidR="0060059C" w:rsidRPr="002C7D97" w:rsidRDefault="0060059C" w:rsidP="0060059C">
      <w:pPr>
        <w:pStyle w:val="Prrafodelista"/>
        <w:numPr>
          <w:ilvl w:val="0"/>
          <w:numId w:val="27"/>
        </w:num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lastRenderedPageBreak/>
        <w:t>La Función Jurisdiccional o enjuiciamiento de las cuentas que deben rendir quienes recauden, intervengan, administren, custodien, manejen o utilicen bienes, caudales o efectos públicos. Se concreta en los juicios de cuentas (determinación de la responsabilidad contable de los gestores públicos compatible con la responsabilidad disciplinaria y con la penal) , los procedimientos de reintegro por alcance</w:t>
      </w:r>
      <w:r w:rsidR="0085237C" w:rsidRPr="002C7D97">
        <w:rPr>
          <w:rFonts w:ascii="Calibri" w:eastAsia="Calibri" w:hAnsi="Calibri" w:cs="Times New Roman"/>
          <w:sz w:val="23"/>
          <w:szCs w:val="23"/>
        </w:rPr>
        <w:t xml:space="preserve"> (recuperación de los importes o cantidades distraídas)</w:t>
      </w:r>
      <w:r w:rsidRPr="002C7D97">
        <w:rPr>
          <w:rFonts w:ascii="Calibri" w:eastAsia="Calibri" w:hAnsi="Calibri" w:cs="Times New Roman"/>
          <w:sz w:val="23"/>
          <w:szCs w:val="23"/>
        </w:rPr>
        <w:t xml:space="preserve"> y los expedientes de cancelación de fianzas </w:t>
      </w:r>
      <w:r w:rsidR="0085237C" w:rsidRPr="002C7D97">
        <w:rPr>
          <w:rFonts w:ascii="Calibri" w:eastAsia="Calibri" w:hAnsi="Calibri" w:cs="Times New Roman"/>
          <w:sz w:val="23"/>
          <w:szCs w:val="23"/>
        </w:rPr>
        <w:t>(cantidades depositadas como garantía por los gestores de fondos públicos)</w:t>
      </w:r>
    </w:p>
    <w:p w:rsidR="0085237C" w:rsidRPr="002C7D97" w:rsidRDefault="0085237C" w:rsidP="0085237C">
      <w:p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CONTROL PARLAMENTARIO</w:t>
      </w:r>
    </w:p>
    <w:p w:rsidR="0085237C" w:rsidRPr="002C7D97" w:rsidRDefault="0085237C" w:rsidP="0085237C">
      <w:pPr>
        <w:pStyle w:val="Prrafodelista"/>
        <w:numPr>
          <w:ilvl w:val="0"/>
          <w:numId w:val="28"/>
        </w:num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Control a priori: Se concreta en la aprobación de las leyes de presupuestos y sus modificaciones, las leyes de deuda pública, las tributarias etc…</w:t>
      </w:r>
    </w:p>
    <w:p w:rsidR="0085237C" w:rsidRPr="002C7D97" w:rsidRDefault="0085237C" w:rsidP="0085237C">
      <w:pPr>
        <w:pStyle w:val="Prrafodelista"/>
        <w:numPr>
          <w:ilvl w:val="0"/>
          <w:numId w:val="28"/>
        </w:num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Control a posteriori a través de la aprobación de la Cuenta General del Estado.</w:t>
      </w:r>
    </w:p>
    <w:p w:rsidR="0085237C" w:rsidRPr="002C7D97" w:rsidRDefault="0085237C" w:rsidP="0085237C">
      <w:pPr>
        <w:pStyle w:val="Prrafodelista"/>
        <w:numPr>
          <w:ilvl w:val="0"/>
          <w:numId w:val="28"/>
        </w:numPr>
        <w:spacing w:after="120" w:line="240" w:lineRule="auto"/>
        <w:jc w:val="both"/>
        <w:rPr>
          <w:rFonts w:ascii="Calibri" w:eastAsia="Calibri" w:hAnsi="Calibri" w:cs="Times New Roman"/>
          <w:sz w:val="23"/>
          <w:szCs w:val="23"/>
        </w:rPr>
      </w:pPr>
      <w:r w:rsidRPr="002C7D97">
        <w:rPr>
          <w:rFonts w:ascii="Calibri" w:eastAsia="Calibri" w:hAnsi="Calibri" w:cs="Times New Roman"/>
          <w:sz w:val="23"/>
          <w:szCs w:val="23"/>
        </w:rPr>
        <w:t>Control en materia financiera: comisiones de investigación, interpelaciones, preguntas, mociones y proposiciones.</w:t>
      </w:r>
    </w:p>
    <w:p w:rsidR="0085237C" w:rsidRPr="002C7D97" w:rsidRDefault="0085237C"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CONTROL INTERNO</w:t>
      </w:r>
    </w:p>
    <w:p w:rsidR="0085237C" w:rsidRPr="002C7D97" w:rsidRDefault="0085237C"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Se realiza fundamentalmente por la IGAE.</w:t>
      </w:r>
    </w:p>
    <w:p w:rsidR="006B4178" w:rsidRPr="002C7D97" w:rsidRDefault="006B4178"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 xml:space="preserve">Señala el Art. 142.2 de la LGP que el control interno de la gestión económico-financiera del sector público estatal se realizará mediante el ejercicio de la función interventora, el control financiero permanente y la auditoría pública. </w:t>
      </w:r>
    </w:p>
    <w:p w:rsidR="006B4178" w:rsidRPr="002C7D97" w:rsidRDefault="006B4178" w:rsidP="006B4178">
      <w:pPr>
        <w:tabs>
          <w:tab w:val="left" w:pos="3780"/>
        </w:tabs>
        <w:spacing w:after="120"/>
        <w:jc w:val="both"/>
        <w:rPr>
          <w:rFonts w:ascii="Calibri" w:eastAsia="Calibri" w:hAnsi="Calibri" w:cs="Times New Roman"/>
          <w:sz w:val="23"/>
          <w:szCs w:val="23"/>
        </w:rPr>
      </w:pPr>
      <w:r w:rsidRPr="002C7D97">
        <w:rPr>
          <w:rFonts w:ascii="Calibri" w:eastAsia="Calibri" w:hAnsi="Calibri" w:cs="Times New Roman"/>
          <w:sz w:val="23"/>
          <w:szCs w:val="23"/>
        </w:rPr>
        <w:t xml:space="preserve">Indica el Art. 148 de la LGP que la función interventora (FI) tiene por objeto controlar, antes de que sean aprobados, los actos del sector público estatal que den lugar al reconocimiento de derechos o a la realización de gastos, así como los ingresos y pagos que de ellos se deriven, y la inversión o aplicación en general de sus fondos públicos, con el fin de asegurar que su gestión se ajuste a las disposiciones aplicables en cada caso (es por lo tanto un control previo de legalidad) </w:t>
      </w:r>
    </w:p>
    <w:p w:rsidR="006B4178" w:rsidRPr="002C7D97" w:rsidRDefault="006B4178" w:rsidP="006B4178">
      <w:pPr>
        <w:tabs>
          <w:tab w:val="left" w:pos="3780"/>
        </w:tabs>
        <w:spacing w:after="120"/>
        <w:jc w:val="both"/>
        <w:rPr>
          <w:rFonts w:ascii="Calibri" w:eastAsia="Calibri" w:hAnsi="Calibri" w:cs="Times New Roman"/>
          <w:sz w:val="23"/>
          <w:szCs w:val="23"/>
        </w:rPr>
      </w:pPr>
      <w:r w:rsidRPr="002C7D97">
        <w:rPr>
          <w:rFonts w:ascii="Calibri" w:eastAsia="Calibri" w:hAnsi="Calibri" w:cs="Times New Roman"/>
          <w:sz w:val="23"/>
          <w:szCs w:val="23"/>
        </w:rPr>
        <w:t xml:space="preserve">No obstante, la fiscalización previa e intervención de los derechos e ingresos del Tesoro Público se </w:t>
      </w:r>
      <w:proofErr w:type="gramStart"/>
      <w:r w:rsidRPr="002C7D97">
        <w:rPr>
          <w:rFonts w:ascii="Calibri" w:eastAsia="Calibri" w:hAnsi="Calibri" w:cs="Times New Roman"/>
          <w:sz w:val="23"/>
          <w:szCs w:val="23"/>
        </w:rPr>
        <w:t>podrá</w:t>
      </w:r>
      <w:proofErr w:type="gramEnd"/>
      <w:r w:rsidRPr="002C7D97">
        <w:rPr>
          <w:rFonts w:ascii="Calibri" w:eastAsia="Calibri" w:hAnsi="Calibri" w:cs="Times New Roman"/>
          <w:sz w:val="23"/>
          <w:szCs w:val="23"/>
        </w:rPr>
        <w:t xml:space="preserve"> sustituir reglamentariamente por las comprobaciones efectuadas en el ejercicio del control financiero permanente y la auditoría publica, salvo en los actos de orde</w:t>
      </w:r>
      <w:r w:rsidR="0085237C" w:rsidRPr="002C7D97">
        <w:rPr>
          <w:rFonts w:ascii="Calibri" w:eastAsia="Calibri" w:hAnsi="Calibri" w:cs="Times New Roman"/>
          <w:sz w:val="23"/>
          <w:szCs w:val="23"/>
        </w:rPr>
        <w:t xml:space="preserve">nación del pago y pago material, </w:t>
      </w:r>
      <w:r w:rsidRPr="002C7D97">
        <w:rPr>
          <w:rFonts w:ascii="Calibri" w:eastAsia="Calibri" w:hAnsi="Calibri" w:cs="Times New Roman"/>
          <w:sz w:val="23"/>
          <w:szCs w:val="23"/>
        </w:rPr>
        <w:t>correspondientes a devoluciones de ingresos indebidos.</w:t>
      </w:r>
    </w:p>
    <w:p w:rsidR="006B4178" w:rsidRPr="002C7D97" w:rsidRDefault="006B4178" w:rsidP="006B4178">
      <w:pPr>
        <w:spacing w:after="120"/>
        <w:jc w:val="both"/>
        <w:rPr>
          <w:rFonts w:ascii="Calibri" w:eastAsia="Calibri" w:hAnsi="Calibri" w:cs="Times New Roman"/>
          <w:sz w:val="23"/>
          <w:szCs w:val="23"/>
        </w:rPr>
      </w:pPr>
      <w:r w:rsidRPr="002C7D97">
        <w:rPr>
          <w:rFonts w:ascii="Calibri" w:eastAsia="Calibri" w:hAnsi="Calibri" w:cs="Times New Roman"/>
          <w:sz w:val="23"/>
          <w:szCs w:val="23"/>
        </w:rPr>
        <w:t xml:space="preserve">Indica el Art. 157 de la LGP que el control financiero permanente (CFP) tendrá por objeto la verificación de la situación y el funcionamiento de las entidades del sector público estatal en el aspecto económico-financiero, para comprobar el cumplimiento de la normativa y directrices que les rigen y, en general, que su gestión se ajusta a los principios de buena gestión financiera y en particular al cumplimiento del objetivo de estabilidad presupuestaria y de equilibrio financiero. </w:t>
      </w:r>
    </w:p>
    <w:p w:rsidR="006B4178" w:rsidRPr="002C7D97" w:rsidRDefault="006B4178" w:rsidP="006B4178">
      <w:pPr>
        <w:jc w:val="both"/>
        <w:rPr>
          <w:rFonts w:ascii="Calibri" w:eastAsia="Calibri" w:hAnsi="Calibri" w:cs="Times New Roman"/>
          <w:sz w:val="23"/>
          <w:szCs w:val="23"/>
        </w:rPr>
      </w:pPr>
      <w:r w:rsidRPr="002C7D97">
        <w:rPr>
          <w:rFonts w:ascii="Calibri" w:eastAsia="Calibri" w:hAnsi="Calibri" w:cs="Times New Roman"/>
          <w:sz w:val="23"/>
          <w:szCs w:val="23"/>
        </w:rPr>
        <w:t xml:space="preserve">Indica el Art. 162 de la LGP que la auditoría pública (AP) consistirá en la verificación, realizada con posterioridad y efectuada de forma sistemática, de la actividad económico-financiera del sector público estatal, mediante la aplicación de los procedimientos de revisión selectivos contenidos en las normas de auditoría e instrucciones que dicte la IGAE. </w:t>
      </w:r>
    </w:p>
    <w:p w:rsidR="007A7DF8" w:rsidRPr="007A7DF8" w:rsidRDefault="007A7DF8" w:rsidP="007A7DF8">
      <w:pPr>
        <w:ind w:left="360"/>
        <w:jc w:val="both"/>
      </w:pPr>
    </w:p>
    <w:sectPr w:rsidR="007A7DF8" w:rsidRPr="007A7DF8" w:rsidSect="000145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1B5E"/>
    <w:multiLevelType w:val="hybridMultilevel"/>
    <w:tmpl w:val="3CC0F7FA"/>
    <w:lvl w:ilvl="0" w:tplc="F93624EE">
      <w:start w:val="1"/>
      <w:numFmt w:val="lowerLetter"/>
      <w:lvlText w:val="%1)"/>
      <w:lvlJc w:val="left"/>
      <w:pPr>
        <w:tabs>
          <w:tab w:val="num" w:pos="540"/>
        </w:tabs>
        <w:ind w:left="540" w:hanging="360"/>
      </w:pPr>
      <w:rPr>
        <w:rFonts w:hint="default"/>
      </w:rPr>
    </w:lvl>
    <w:lvl w:ilvl="1" w:tplc="0C0A0019" w:tentative="1">
      <w:start w:val="1"/>
      <w:numFmt w:val="lowerLetter"/>
      <w:lvlText w:val="%2."/>
      <w:lvlJc w:val="left"/>
      <w:pPr>
        <w:tabs>
          <w:tab w:val="num" w:pos="1260"/>
        </w:tabs>
        <w:ind w:left="1260" w:hanging="360"/>
      </w:pPr>
    </w:lvl>
    <w:lvl w:ilvl="2" w:tplc="0C0A001B" w:tentative="1">
      <w:start w:val="1"/>
      <w:numFmt w:val="lowerRoman"/>
      <w:lvlText w:val="%3."/>
      <w:lvlJc w:val="right"/>
      <w:pPr>
        <w:tabs>
          <w:tab w:val="num" w:pos="1980"/>
        </w:tabs>
        <w:ind w:left="1980" w:hanging="180"/>
      </w:pPr>
    </w:lvl>
    <w:lvl w:ilvl="3" w:tplc="0C0A000F" w:tentative="1">
      <w:start w:val="1"/>
      <w:numFmt w:val="decimal"/>
      <w:lvlText w:val="%4."/>
      <w:lvlJc w:val="left"/>
      <w:pPr>
        <w:tabs>
          <w:tab w:val="num" w:pos="2700"/>
        </w:tabs>
        <w:ind w:left="2700" w:hanging="360"/>
      </w:pPr>
    </w:lvl>
    <w:lvl w:ilvl="4" w:tplc="0C0A0019" w:tentative="1">
      <w:start w:val="1"/>
      <w:numFmt w:val="lowerLetter"/>
      <w:lvlText w:val="%5."/>
      <w:lvlJc w:val="left"/>
      <w:pPr>
        <w:tabs>
          <w:tab w:val="num" w:pos="3420"/>
        </w:tabs>
        <w:ind w:left="3420" w:hanging="360"/>
      </w:p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1">
    <w:nsid w:val="046C51CC"/>
    <w:multiLevelType w:val="hybridMultilevel"/>
    <w:tmpl w:val="95BA91C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883F92"/>
    <w:multiLevelType w:val="hybridMultilevel"/>
    <w:tmpl w:val="59628F7E"/>
    <w:lvl w:ilvl="0" w:tplc="36E0AB76">
      <w:numFmt w:val="bullet"/>
      <w:lvlText w:val="-"/>
      <w:lvlJc w:val="left"/>
      <w:pPr>
        <w:tabs>
          <w:tab w:val="num" w:pos="720"/>
        </w:tabs>
        <w:ind w:left="720" w:hanging="360"/>
      </w:pPr>
      <w:rPr>
        <w:rFonts w:ascii="Times New Roman" w:eastAsia="Times New Roman" w:hAnsi="Times New Roman" w:cs="Times New Roman" w:hint="default"/>
      </w:rPr>
    </w:lvl>
    <w:lvl w:ilvl="1" w:tplc="0C0A000F">
      <w:start w:val="1"/>
      <w:numFmt w:val="decimal"/>
      <w:lvlText w:val="%2."/>
      <w:lvlJc w:val="left"/>
      <w:pPr>
        <w:tabs>
          <w:tab w:val="num" w:pos="1440"/>
        </w:tabs>
        <w:ind w:left="1440" w:hanging="360"/>
      </w:pPr>
      <w:rPr>
        <w:rFonts w:hint="default"/>
      </w:rPr>
    </w:lvl>
    <w:lvl w:ilvl="2" w:tplc="47308B0E">
      <w:start w:val="1"/>
      <w:numFmt w:val="lowerLetter"/>
      <w:lvlText w:val="%3)"/>
      <w:lvlJc w:val="left"/>
      <w:pPr>
        <w:tabs>
          <w:tab w:val="num" w:pos="2160"/>
        </w:tabs>
        <w:ind w:left="2160" w:hanging="360"/>
      </w:pPr>
      <w:rPr>
        <w:rFont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75875B4"/>
    <w:multiLevelType w:val="hybridMultilevel"/>
    <w:tmpl w:val="F1B42DBA"/>
    <w:lvl w:ilvl="0" w:tplc="B866A300">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7945D67"/>
    <w:multiLevelType w:val="hybridMultilevel"/>
    <w:tmpl w:val="4D3C5A9A"/>
    <w:lvl w:ilvl="0" w:tplc="9850D512">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0BD4790"/>
    <w:multiLevelType w:val="hybridMultilevel"/>
    <w:tmpl w:val="63A29D3C"/>
    <w:lvl w:ilvl="0" w:tplc="B90CA03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1B469BB"/>
    <w:multiLevelType w:val="hybridMultilevel"/>
    <w:tmpl w:val="831E7B1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6A830AB"/>
    <w:multiLevelType w:val="hybridMultilevel"/>
    <w:tmpl w:val="C55AA116"/>
    <w:lvl w:ilvl="0" w:tplc="A9968BCE">
      <w:start w:val="8"/>
      <w:numFmt w:val="bullet"/>
      <w:lvlText w:val="-"/>
      <w:lvlJc w:val="left"/>
      <w:pPr>
        <w:ind w:left="1068" w:hanging="360"/>
      </w:pPr>
      <w:rPr>
        <w:rFonts w:ascii="Calibri" w:eastAsiaTheme="minorHAnsi" w:hAnsi="Calibri" w:cstheme="minorBid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nsid w:val="302C4F4F"/>
    <w:multiLevelType w:val="hybridMultilevel"/>
    <w:tmpl w:val="EC647216"/>
    <w:lvl w:ilvl="0" w:tplc="E48695A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3BCC3BF3"/>
    <w:multiLevelType w:val="hybridMultilevel"/>
    <w:tmpl w:val="4C32719E"/>
    <w:lvl w:ilvl="0" w:tplc="C08C5750">
      <w:start w:val="1"/>
      <w:numFmt w:val="lowerLetter"/>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A42013A">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start w:val="1"/>
      <w:numFmt w:val="decimal"/>
      <w:lvlText w:val="%4."/>
      <w:lvlJc w:val="left"/>
      <w:pPr>
        <w:tabs>
          <w:tab w:val="num" w:pos="2880"/>
        </w:tabs>
        <w:ind w:left="2880" w:hanging="360"/>
      </w:pPr>
      <w:rPr>
        <w:rFonts w:hint="default"/>
      </w:rPr>
    </w:lvl>
    <w:lvl w:ilvl="4" w:tplc="28CA3900">
      <w:start w:val="1"/>
      <w:numFmt w:val="bullet"/>
      <w:lvlText w:val=""/>
      <w:lvlJc w:val="left"/>
      <w:pPr>
        <w:ind w:left="3600" w:hanging="360"/>
      </w:pPr>
      <w:rPr>
        <w:rFonts w:ascii="Symbol" w:eastAsia="Times New Roman" w:hAnsi="Symbol" w:cs="Times New Roman"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C177A03"/>
    <w:multiLevelType w:val="hybridMultilevel"/>
    <w:tmpl w:val="5E38110C"/>
    <w:lvl w:ilvl="0" w:tplc="B90CA036">
      <w:start w:val="1"/>
      <w:numFmt w:val="lowerLetter"/>
      <w:lvlText w:val="%1)"/>
      <w:lvlJc w:val="left"/>
      <w:pPr>
        <w:tabs>
          <w:tab w:val="num" w:pos="720"/>
        </w:tabs>
        <w:ind w:left="720" w:hanging="360"/>
      </w:pPr>
      <w:rPr>
        <w:rFonts w:hint="default"/>
      </w:rPr>
    </w:lvl>
    <w:lvl w:ilvl="1" w:tplc="36E0AB76">
      <w:numFmt w:val="bullet"/>
      <w:lvlText w:val="-"/>
      <w:lvlJc w:val="left"/>
      <w:pPr>
        <w:tabs>
          <w:tab w:val="num" w:pos="1440"/>
        </w:tabs>
        <w:ind w:left="1440" w:hanging="360"/>
      </w:pPr>
      <w:rPr>
        <w:rFonts w:ascii="Times New Roman" w:eastAsia="Times New Roman" w:hAnsi="Times New Roman" w:cs="Times New Roman" w:hint="default"/>
      </w:rPr>
    </w:lvl>
    <w:lvl w:ilvl="2" w:tplc="77E62350">
      <w:start w:val="1"/>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3FCE13B2"/>
    <w:multiLevelType w:val="hybridMultilevel"/>
    <w:tmpl w:val="C4384498"/>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3985496"/>
    <w:multiLevelType w:val="hybridMultilevel"/>
    <w:tmpl w:val="876CA33E"/>
    <w:lvl w:ilvl="0" w:tplc="FCDE6C3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7717D69"/>
    <w:multiLevelType w:val="multilevel"/>
    <w:tmpl w:val="7524538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D23721A"/>
    <w:multiLevelType w:val="hybridMultilevel"/>
    <w:tmpl w:val="A18E5F56"/>
    <w:lvl w:ilvl="0" w:tplc="9498F4D8">
      <w:start w:val="1"/>
      <w:numFmt w:val="upperLetter"/>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6">
    <w:nsid w:val="4E7D4BBD"/>
    <w:multiLevelType w:val="hybridMultilevel"/>
    <w:tmpl w:val="3FD068EC"/>
    <w:lvl w:ilvl="0" w:tplc="E48695A6">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39F3B53"/>
    <w:multiLevelType w:val="hybridMultilevel"/>
    <w:tmpl w:val="802C92D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588050C"/>
    <w:multiLevelType w:val="hybridMultilevel"/>
    <w:tmpl w:val="48FEC0C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6414418"/>
    <w:multiLevelType w:val="hybridMultilevel"/>
    <w:tmpl w:val="91248120"/>
    <w:lvl w:ilvl="0" w:tplc="F170F2C2">
      <w:start w:val="1"/>
      <w:numFmt w:val="lowerLetter"/>
      <w:lvlText w:val="%1)"/>
      <w:lvlJc w:val="left"/>
      <w:pPr>
        <w:tabs>
          <w:tab w:val="num" w:pos="540"/>
        </w:tabs>
        <w:ind w:left="540" w:hanging="360"/>
      </w:pPr>
      <w:rPr>
        <w:rFonts w:hint="default"/>
      </w:rPr>
    </w:lvl>
    <w:lvl w:ilvl="1" w:tplc="0C0A0019" w:tentative="1">
      <w:start w:val="1"/>
      <w:numFmt w:val="lowerLetter"/>
      <w:lvlText w:val="%2."/>
      <w:lvlJc w:val="left"/>
      <w:pPr>
        <w:tabs>
          <w:tab w:val="num" w:pos="1260"/>
        </w:tabs>
        <w:ind w:left="1260" w:hanging="360"/>
      </w:pPr>
    </w:lvl>
    <w:lvl w:ilvl="2" w:tplc="0C0A001B" w:tentative="1">
      <w:start w:val="1"/>
      <w:numFmt w:val="lowerRoman"/>
      <w:lvlText w:val="%3."/>
      <w:lvlJc w:val="right"/>
      <w:pPr>
        <w:tabs>
          <w:tab w:val="num" w:pos="1980"/>
        </w:tabs>
        <w:ind w:left="1980" w:hanging="180"/>
      </w:pPr>
    </w:lvl>
    <w:lvl w:ilvl="3" w:tplc="0C0A000F" w:tentative="1">
      <w:start w:val="1"/>
      <w:numFmt w:val="decimal"/>
      <w:lvlText w:val="%4."/>
      <w:lvlJc w:val="left"/>
      <w:pPr>
        <w:tabs>
          <w:tab w:val="num" w:pos="2700"/>
        </w:tabs>
        <w:ind w:left="2700" w:hanging="360"/>
      </w:pPr>
    </w:lvl>
    <w:lvl w:ilvl="4" w:tplc="0C0A0019" w:tentative="1">
      <w:start w:val="1"/>
      <w:numFmt w:val="lowerLetter"/>
      <w:lvlText w:val="%5."/>
      <w:lvlJc w:val="left"/>
      <w:pPr>
        <w:tabs>
          <w:tab w:val="num" w:pos="3420"/>
        </w:tabs>
        <w:ind w:left="3420" w:hanging="360"/>
      </w:p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20">
    <w:nsid w:val="5E495B23"/>
    <w:multiLevelType w:val="hybridMultilevel"/>
    <w:tmpl w:val="D2C6AB60"/>
    <w:lvl w:ilvl="0" w:tplc="CCF45F54">
      <w:start w:val="1"/>
      <w:numFmt w:val="upperLetter"/>
      <w:lvlText w:val="%1)"/>
      <w:lvlJc w:val="left"/>
      <w:pPr>
        <w:tabs>
          <w:tab w:val="num" w:pos="720"/>
        </w:tabs>
        <w:ind w:left="720" w:hanging="360"/>
      </w:pPr>
      <w:rPr>
        <w:rFonts w:hint="default"/>
      </w:rPr>
    </w:lvl>
    <w:lvl w:ilvl="1" w:tplc="B9384FD6">
      <w:start w:val="4"/>
      <w:numFmt w:val="bullet"/>
      <w:lvlText w:val="-"/>
      <w:lvlJc w:val="left"/>
      <w:pPr>
        <w:tabs>
          <w:tab w:val="num" w:pos="1440"/>
        </w:tabs>
        <w:ind w:left="1440" w:hanging="360"/>
      </w:pPr>
      <w:rPr>
        <w:rFonts w:ascii="Times New Roman" w:eastAsia="Times New Roman" w:hAnsi="Times New Roman" w:cs="Times New Roman" w:hint="default"/>
      </w:rPr>
    </w:lvl>
    <w:lvl w:ilvl="2" w:tplc="BA66704C">
      <w:start w:val="1"/>
      <w:numFmt w:val="lowerLetter"/>
      <w:lvlText w:val="%3)"/>
      <w:lvlJc w:val="left"/>
      <w:pPr>
        <w:tabs>
          <w:tab w:val="num" w:pos="2340"/>
        </w:tabs>
        <w:ind w:left="2340" w:hanging="360"/>
      </w:pPr>
      <w:rPr>
        <w:rFonts w:hint="default"/>
      </w:rPr>
    </w:lvl>
    <w:lvl w:ilvl="3" w:tplc="0534F0D2">
      <w:start w:val="1"/>
      <w:numFmt w:val="upperLetter"/>
      <w:lvlText w:val="%4)"/>
      <w:lvlJc w:val="left"/>
      <w:pPr>
        <w:ind w:left="2880" w:hanging="360"/>
      </w:pPr>
      <w:rPr>
        <w:rFonts w:ascii="Times New Roman" w:eastAsia="Times New Roman" w:hAnsi="Times New Roman" w:cs="Times New Roman"/>
        <w:sz w:val="22"/>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5E8A2545"/>
    <w:multiLevelType w:val="hybridMultilevel"/>
    <w:tmpl w:val="BF04A5B4"/>
    <w:lvl w:ilvl="0" w:tplc="B866A300">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0DF03E2"/>
    <w:multiLevelType w:val="hybridMultilevel"/>
    <w:tmpl w:val="34B2D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79E6A83"/>
    <w:multiLevelType w:val="hybridMultilevel"/>
    <w:tmpl w:val="3B8E04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A1C1169"/>
    <w:multiLevelType w:val="hybridMultilevel"/>
    <w:tmpl w:val="9FF4B9D0"/>
    <w:lvl w:ilvl="0" w:tplc="4FCC95A0">
      <w:start w:val="1"/>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nsid w:val="6CD57EC3"/>
    <w:multiLevelType w:val="hybridMultilevel"/>
    <w:tmpl w:val="658AC8C8"/>
    <w:lvl w:ilvl="0" w:tplc="B0BEEF1A">
      <w:start w:val="1"/>
      <w:numFmt w:val="lowerLetter"/>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6">
    <w:nsid w:val="6E1F6A1F"/>
    <w:multiLevelType w:val="hybridMultilevel"/>
    <w:tmpl w:val="392A559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734F5EC6"/>
    <w:multiLevelType w:val="hybridMultilevel"/>
    <w:tmpl w:val="217E4926"/>
    <w:lvl w:ilvl="0" w:tplc="3B2EC9D2">
      <w:start w:val="1"/>
      <w:numFmt w:val="lowerLetter"/>
      <w:lvlText w:val="%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num w:numId="1">
    <w:abstractNumId w:val="13"/>
  </w:num>
  <w:num w:numId="2">
    <w:abstractNumId w:val="15"/>
  </w:num>
  <w:num w:numId="3">
    <w:abstractNumId w:val="7"/>
  </w:num>
  <w:num w:numId="4">
    <w:abstractNumId w:val="27"/>
  </w:num>
  <w:num w:numId="5">
    <w:abstractNumId w:val="25"/>
  </w:num>
  <w:num w:numId="6">
    <w:abstractNumId w:val="8"/>
  </w:num>
  <w:num w:numId="7">
    <w:abstractNumId w:val="14"/>
  </w:num>
  <w:num w:numId="8">
    <w:abstractNumId w:val="10"/>
  </w:num>
  <w:num w:numId="9">
    <w:abstractNumId w:val="5"/>
  </w:num>
  <w:num w:numId="10">
    <w:abstractNumId w:val="11"/>
  </w:num>
  <w:num w:numId="11">
    <w:abstractNumId w:val="24"/>
  </w:num>
  <w:num w:numId="12">
    <w:abstractNumId w:val="3"/>
  </w:num>
  <w:num w:numId="13">
    <w:abstractNumId w:val="9"/>
  </w:num>
  <w:num w:numId="14">
    <w:abstractNumId w:val="19"/>
  </w:num>
  <w:num w:numId="15">
    <w:abstractNumId w:val="16"/>
  </w:num>
  <w:num w:numId="16">
    <w:abstractNumId w:val="0"/>
  </w:num>
  <w:num w:numId="17">
    <w:abstractNumId w:val="2"/>
  </w:num>
  <w:num w:numId="18">
    <w:abstractNumId w:val="6"/>
  </w:num>
  <w:num w:numId="19">
    <w:abstractNumId w:val="12"/>
  </w:num>
  <w:num w:numId="20">
    <w:abstractNumId w:val="21"/>
  </w:num>
  <w:num w:numId="21">
    <w:abstractNumId w:val="22"/>
  </w:num>
  <w:num w:numId="22">
    <w:abstractNumId w:val="20"/>
  </w:num>
  <w:num w:numId="23">
    <w:abstractNumId w:val="4"/>
  </w:num>
  <w:num w:numId="24">
    <w:abstractNumId w:val="26"/>
  </w:num>
  <w:num w:numId="25">
    <w:abstractNumId w:val="1"/>
  </w:num>
  <w:num w:numId="26">
    <w:abstractNumId w:val="17"/>
  </w:num>
  <w:num w:numId="27">
    <w:abstractNumId w:val="18"/>
  </w:num>
  <w:num w:numId="28">
    <w:abstractNumId w:val="2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rsids>
    <w:rsidRoot w:val="001425F0"/>
    <w:rsid w:val="00000D61"/>
    <w:rsid w:val="0000430D"/>
    <w:rsid w:val="00014507"/>
    <w:rsid w:val="0003012E"/>
    <w:rsid w:val="00035E51"/>
    <w:rsid w:val="00067988"/>
    <w:rsid w:val="00087E61"/>
    <w:rsid w:val="0009516F"/>
    <w:rsid w:val="000B0D9E"/>
    <w:rsid w:val="000B56F3"/>
    <w:rsid w:val="000C7BB9"/>
    <w:rsid w:val="000E6FD3"/>
    <w:rsid w:val="00102231"/>
    <w:rsid w:val="00106424"/>
    <w:rsid w:val="001301FC"/>
    <w:rsid w:val="0013337F"/>
    <w:rsid w:val="00140736"/>
    <w:rsid w:val="001425F0"/>
    <w:rsid w:val="00151FA6"/>
    <w:rsid w:val="00155063"/>
    <w:rsid w:val="00163846"/>
    <w:rsid w:val="00180D66"/>
    <w:rsid w:val="00190A5B"/>
    <w:rsid w:val="00197EF8"/>
    <w:rsid w:val="001B7C3D"/>
    <w:rsid w:val="00213BDD"/>
    <w:rsid w:val="00230F46"/>
    <w:rsid w:val="002406CF"/>
    <w:rsid w:val="00254D7B"/>
    <w:rsid w:val="00273165"/>
    <w:rsid w:val="00281C09"/>
    <w:rsid w:val="0029465D"/>
    <w:rsid w:val="002978D8"/>
    <w:rsid w:val="002C7D97"/>
    <w:rsid w:val="002D3C1E"/>
    <w:rsid w:val="00312B8A"/>
    <w:rsid w:val="003174DA"/>
    <w:rsid w:val="003177D0"/>
    <w:rsid w:val="00344759"/>
    <w:rsid w:val="00361100"/>
    <w:rsid w:val="00367C4A"/>
    <w:rsid w:val="00373130"/>
    <w:rsid w:val="00374D49"/>
    <w:rsid w:val="00387642"/>
    <w:rsid w:val="003941D0"/>
    <w:rsid w:val="003B6CA8"/>
    <w:rsid w:val="003C6D53"/>
    <w:rsid w:val="003E1C3F"/>
    <w:rsid w:val="00405851"/>
    <w:rsid w:val="004178DC"/>
    <w:rsid w:val="0042212A"/>
    <w:rsid w:val="0045102D"/>
    <w:rsid w:val="0047513A"/>
    <w:rsid w:val="00485A7F"/>
    <w:rsid w:val="00486D13"/>
    <w:rsid w:val="00486E60"/>
    <w:rsid w:val="0048745E"/>
    <w:rsid w:val="004A458E"/>
    <w:rsid w:val="004A4F8D"/>
    <w:rsid w:val="004B0ED2"/>
    <w:rsid w:val="004B3BE1"/>
    <w:rsid w:val="004D3EB8"/>
    <w:rsid w:val="004E07AA"/>
    <w:rsid w:val="004F7288"/>
    <w:rsid w:val="005045F2"/>
    <w:rsid w:val="00522A10"/>
    <w:rsid w:val="00545DF1"/>
    <w:rsid w:val="00555485"/>
    <w:rsid w:val="00556439"/>
    <w:rsid w:val="0058182D"/>
    <w:rsid w:val="00584F84"/>
    <w:rsid w:val="005C4064"/>
    <w:rsid w:val="005C6F67"/>
    <w:rsid w:val="005E2C6D"/>
    <w:rsid w:val="005E7AF2"/>
    <w:rsid w:val="005F261C"/>
    <w:rsid w:val="0060059C"/>
    <w:rsid w:val="006019CF"/>
    <w:rsid w:val="00604A40"/>
    <w:rsid w:val="0062002C"/>
    <w:rsid w:val="006361CC"/>
    <w:rsid w:val="00642E10"/>
    <w:rsid w:val="00653690"/>
    <w:rsid w:val="00675C4E"/>
    <w:rsid w:val="006A0D9A"/>
    <w:rsid w:val="006B4178"/>
    <w:rsid w:val="006C4A18"/>
    <w:rsid w:val="006D06DF"/>
    <w:rsid w:val="006D2D4A"/>
    <w:rsid w:val="006F1910"/>
    <w:rsid w:val="006F2CD8"/>
    <w:rsid w:val="007156AB"/>
    <w:rsid w:val="00720D39"/>
    <w:rsid w:val="00722C78"/>
    <w:rsid w:val="00762FCA"/>
    <w:rsid w:val="007631B2"/>
    <w:rsid w:val="00766F1D"/>
    <w:rsid w:val="00777478"/>
    <w:rsid w:val="007A7DF8"/>
    <w:rsid w:val="007C00CE"/>
    <w:rsid w:val="007D18DE"/>
    <w:rsid w:val="007E43F8"/>
    <w:rsid w:val="007F1F06"/>
    <w:rsid w:val="00810A1B"/>
    <w:rsid w:val="0081116C"/>
    <w:rsid w:val="0081155E"/>
    <w:rsid w:val="0081210E"/>
    <w:rsid w:val="00832567"/>
    <w:rsid w:val="00833BF2"/>
    <w:rsid w:val="008375D5"/>
    <w:rsid w:val="0085237C"/>
    <w:rsid w:val="00866F6D"/>
    <w:rsid w:val="00880F95"/>
    <w:rsid w:val="008840B0"/>
    <w:rsid w:val="008938CD"/>
    <w:rsid w:val="008D1241"/>
    <w:rsid w:val="009128C3"/>
    <w:rsid w:val="00923CF3"/>
    <w:rsid w:val="00923DDA"/>
    <w:rsid w:val="00962F67"/>
    <w:rsid w:val="00964483"/>
    <w:rsid w:val="00967D87"/>
    <w:rsid w:val="0098467F"/>
    <w:rsid w:val="0098761E"/>
    <w:rsid w:val="009B389A"/>
    <w:rsid w:val="009B45F7"/>
    <w:rsid w:val="009B7874"/>
    <w:rsid w:val="009D6FCD"/>
    <w:rsid w:val="009E0247"/>
    <w:rsid w:val="009F4ED6"/>
    <w:rsid w:val="009F54C9"/>
    <w:rsid w:val="00A060D0"/>
    <w:rsid w:val="00A06C9D"/>
    <w:rsid w:val="00A115B9"/>
    <w:rsid w:val="00A221A9"/>
    <w:rsid w:val="00A26367"/>
    <w:rsid w:val="00A4223F"/>
    <w:rsid w:val="00A4498F"/>
    <w:rsid w:val="00A5034F"/>
    <w:rsid w:val="00A63221"/>
    <w:rsid w:val="00A707AF"/>
    <w:rsid w:val="00A718DA"/>
    <w:rsid w:val="00A959C5"/>
    <w:rsid w:val="00B12FD0"/>
    <w:rsid w:val="00B1521A"/>
    <w:rsid w:val="00B27C67"/>
    <w:rsid w:val="00B50D0D"/>
    <w:rsid w:val="00B61288"/>
    <w:rsid w:val="00B747B3"/>
    <w:rsid w:val="00B810B4"/>
    <w:rsid w:val="00BA6408"/>
    <w:rsid w:val="00BD063D"/>
    <w:rsid w:val="00BE5F6D"/>
    <w:rsid w:val="00BE62F4"/>
    <w:rsid w:val="00C12724"/>
    <w:rsid w:val="00C70D50"/>
    <w:rsid w:val="00C73A33"/>
    <w:rsid w:val="00C75751"/>
    <w:rsid w:val="00C763F3"/>
    <w:rsid w:val="00CB2C98"/>
    <w:rsid w:val="00CB45A0"/>
    <w:rsid w:val="00CC1FD4"/>
    <w:rsid w:val="00CD7F60"/>
    <w:rsid w:val="00CE484F"/>
    <w:rsid w:val="00CE6EEC"/>
    <w:rsid w:val="00CF679D"/>
    <w:rsid w:val="00D14515"/>
    <w:rsid w:val="00D21D61"/>
    <w:rsid w:val="00D25917"/>
    <w:rsid w:val="00D44940"/>
    <w:rsid w:val="00D44C13"/>
    <w:rsid w:val="00D52FB4"/>
    <w:rsid w:val="00D8269A"/>
    <w:rsid w:val="00D94026"/>
    <w:rsid w:val="00DB4327"/>
    <w:rsid w:val="00DB5CF7"/>
    <w:rsid w:val="00DB7CA1"/>
    <w:rsid w:val="00DC682F"/>
    <w:rsid w:val="00DE7961"/>
    <w:rsid w:val="00E0533F"/>
    <w:rsid w:val="00E13A24"/>
    <w:rsid w:val="00E50084"/>
    <w:rsid w:val="00E80103"/>
    <w:rsid w:val="00E84BF4"/>
    <w:rsid w:val="00E87662"/>
    <w:rsid w:val="00E9082D"/>
    <w:rsid w:val="00ED4C4D"/>
    <w:rsid w:val="00ED64C6"/>
    <w:rsid w:val="00EE46FF"/>
    <w:rsid w:val="00F052F6"/>
    <w:rsid w:val="00F11705"/>
    <w:rsid w:val="00F43E55"/>
    <w:rsid w:val="00F6565E"/>
    <w:rsid w:val="00F6635F"/>
    <w:rsid w:val="00F67F71"/>
    <w:rsid w:val="00F74156"/>
    <w:rsid w:val="00F81CA3"/>
    <w:rsid w:val="00F848C0"/>
    <w:rsid w:val="00FA52E7"/>
    <w:rsid w:val="00FB0DBD"/>
    <w:rsid w:val="00FC5CC8"/>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DBDA6-81FF-4AFB-892A-1ED33B20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13</Pages>
  <Words>5072</Words>
  <Characters>27902</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Fernando</cp:lastModifiedBy>
  <cp:revision>63</cp:revision>
  <dcterms:created xsi:type="dcterms:W3CDTF">2016-05-02T17:28:00Z</dcterms:created>
  <dcterms:modified xsi:type="dcterms:W3CDTF">2019-03-16T08:46:00Z</dcterms:modified>
</cp:coreProperties>
</file>